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C5" w:rsidRPr="005323E4" w:rsidRDefault="00CC0EC5" w:rsidP="00F511B5">
      <w:pPr>
        <w:spacing w:line="360" w:lineRule="auto"/>
        <w:jc w:val="both"/>
        <w:rPr>
          <w:rFonts w:ascii="Palatino Linotype" w:hAnsi="Palatino Linotype" w:cs="Arial"/>
        </w:rPr>
      </w:pPr>
      <w:r w:rsidRPr="005323E4">
        <w:rPr>
          <w:rFonts w:ascii="Palatino Linotype" w:hAnsi="Palatino Linotype" w:cs="Arial"/>
          <w:b/>
        </w:rPr>
        <w:t xml:space="preserve">VOTO </w:t>
      </w:r>
      <w:r w:rsidR="00D75081">
        <w:rPr>
          <w:rFonts w:ascii="Palatino Linotype" w:hAnsi="Palatino Linotype" w:cs="Arial"/>
          <w:b/>
        </w:rPr>
        <w:t xml:space="preserve">PARTICULAR </w:t>
      </w:r>
      <w:r w:rsidRPr="005323E4">
        <w:rPr>
          <w:rFonts w:ascii="Palatino Linotype" w:hAnsi="Palatino Linotype" w:cs="Arial"/>
          <w:b/>
        </w:rPr>
        <w:t>DEL COMISIONADO JOSÉ GUADALUPE LUNA HERNÁN</w:t>
      </w:r>
      <w:r w:rsidR="00D75081">
        <w:rPr>
          <w:rFonts w:ascii="Palatino Linotype" w:hAnsi="Palatino Linotype" w:cs="Arial"/>
          <w:b/>
        </w:rPr>
        <w:t>DEZ</w:t>
      </w:r>
      <w:r w:rsidR="00F7127D">
        <w:rPr>
          <w:rFonts w:ascii="Palatino Linotype" w:hAnsi="Palatino Linotype" w:cs="Arial"/>
          <w:b/>
        </w:rPr>
        <w:t xml:space="preserve"> EN EL RECURSO DE REVISIÓN 04356</w:t>
      </w:r>
      <w:r w:rsidR="00F95E27">
        <w:rPr>
          <w:rFonts w:ascii="Palatino Linotype" w:hAnsi="Palatino Linotype" w:cs="Arial"/>
          <w:b/>
        </w:rPr>
        <w:t>/INFOEM/IP/RR/2018</w:t>
      </w:r>
      <w:r w:rsidR="00191742">
        <w:rPr>
          <w:rFonts w:ascii="Palatino Linotype" w:hAnsi="Palatino Linotype" w:cs="Arial"/>
          <w:b/>
        </w:rPr>
        <w:t>.</w:t>
      </w:r>
      <w:r w:rsidR="00F95E27">
        <w:rPr>
          <w:rFonts w:ascii="Palatino Linotype" w:hAnsi="Palatino Linotype" w:cs="Arial"/>
          <w:b/>
        </w:rPr>
        <w:t xml:space="preserve"> </w:t>
      </w:r>
    </w:p>
    <w:p w:rsidR="00F436A4" w:rsidRPr="004F719D" w:rsidRDefault="00F436A4" w:rsidP="00EF2C52">
      <w:pPr>
        <w:jc w:val="both"/>
        <w:rPr>
          <w:rFonts w:ascii="Palatino Linotype" w:hAnsi="Palatino Linotype" w:cs="Arial"/>
          <w:b/>
          <w:i/>
        </w:rPr>
      </w:pPr>
    </w:p>
    <w:p w:rsidR="00F436A4" w:rsidRDefault="003503B0" w:rsidP="00F511B5">
      <w:pPr>
        <w:spacing w:line="360" w:lineRule="auto"/>
        <w:jc w:val="both"/>
        <w:rPr>
          <w:rFonts w:ascii="Palatino Linotype" w:hAnsi="Palatino Linotype" w:cs="Arial"/>
          <w:b/>
        </w:rPr>
      </w:pPr>
      <w:r w:rsidRPr="004F719D">
        <w:rPr>
          <w:rFonts w:ascii="Palatino Linotype" w:hAnsi="Palatino Linotype" w:cs="Arial"/>
          <w:b/>
        </w:rPr>
        <w:t>RESUMEN DEL VOTO</w:t>
      </w:r>
    </w:p>
    <w:p w:rsidR="0044164A" w:rsidRPr="004F719D" w:rsidRDefault="0044164A" w:rsidP="00EF2C52">
      <w:pPr>
        <w:jc w:val="both"/>
        <w:rPr>
          <w:rFonts w:ascii="Palatino Linotype" w:hAnsi="Palatino Linotype" w:cs="Arial"/>
          <w:b/>
          <w:bdr w:val="none" w:sz="0" w:space="0" w:color="auto"/>
        </w:rPr>
      </w:pPr>
    </w:p>
    <w:p w:rsidR="0026475A" w:rsidRPr="00022D14" w:rsidRDefault="009A16E4" w:rsidP="009A16E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sz w:val="23"/>
          <w:szCs w:val="23"/>
        </w:rPr>
      </w:pPr>
      <w:r w:rsidRPr="00022D14">
        <w:rPr>
          <w:rFonts w:ascii="Palatino Linotype" w:hAnsi="Palatino Linotype" w:cs="Arial"/>
          <w:sz w:val="23"/>
          <w:szCs w:val="23"/>
        </w:rPr>
        <w:t>Es sumamente importante mencionar que los nombres de los servidores públicos, son de naturaleza pública</w:t>
      </w:r>
      <w:r w:rsidR="0026475A" w:rsidRPr="00022D14">
        <w:rPr>
          <w:rFonts w:ascii="Palatino Linotype" w:hAnsi="Palatino Linotype" w:cs="Arial"/>
          <w:sz w:val="23"/>
          <w:szCs w:val="23"/>
        </w:rPr>
        <w:t xml:space="preserve"> y por tanto la información que sea poseída, administrada y generada por los mismos es dable ser ordenada para su entrega, sin embargo es importante puntualizar que la clasificación de información, es el acto excepcional de restricción de derechos, por lo que no basta que la hipótesis prevista para su configuración sea igual a las hipótesis que prevé la prueba de daño, sino que para ser configurada la clasificación de la información deberá ser desarrollada, y en el caso particular se deberá valorar el daño real que se ocasionaría a la entrega de la información. </w:t>
      </w:r>
    </w:p>
    <w:p w:rsidR="00022D14" w:rsidRPr="00022D14" w:rsidRDefault="00022D14" w:rsidP="009A16E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sz w:val="23"/>
          <w:szCs w:val="23"/>
        </w:rPr>
      </w:pPr>
    </w:p>
    <w:p w:rsidR="00D75081" w:rsidRDefault="0026475A" w:rsidP="00022D14">
      <w:pPr>
        <w:pStyle w:val="Prrafodelista"/>
        <w:spacing w:line="360" w:lineRule="auto"/>
        <w:ind w:left="0"/>
        <w:jc w:val="both"/>
        <w:rPr>
          <w:rFonts w:ascii="Palatino Linotype" w:hAnsi="Palatino Linotype"/>
          <w:sz w:val="23"/>
          <w:szCs w:val="23"/>
        </w:rPr>
      </w:pPr>
      <w:r w:rsidRPr="00022D14">
        <w:rPr>
          <w:rFonts w:ascii="Palatino Linotype" w:hAnsi="Palatino Linotype"/>
          <w:sz w:val="23"/>
          <w:szCs w:val="23"/>
        </w:rPr>
        <w:t xml:space="preserve">Si derivado de la nómina que se ordena entregar pudiera existir información relativa a servidores públicos que pertenezcan al ámbito de seguridad pública, y la entrega del documento ponga en riesgo los integrantes derivado de las funciones </w:t>
      </w:r>
      <w:r w:rsidR="00022D14" w:rsidRPr="00022D14">
        <w:rPr>
          <w:rFonts w:ascii="Palatino Linotype" w:hAnsi="Palatino Linotype"/>
          <w:sz w:val="23"/>
          <w:szCs w:val="23"/>
        </w:rPr>
        <w:t xml:space="preserve">encomendadas como; </w:t>
      </w:r>
      <w:r w:rsidRPr="00022D14">
        <w:rPr>
          <w:rFonts w:ascii="Palatino Linotype" w:hAnsi="Palatino Linotype"/>
          <w:sz w:val="23"/>
          <w:szCs w:val="23"/>
        </w:rPr>
        <w:t xml:space="preserve">la prevención de los delitos, investigación y persecución para hacerla efectiva, el </w:t>
      </w:r>
      <w:r w:rsidR="007F7E66">
        <w:rPr>
          <w:rFonts w:ascii="Palatino Linotype" w:hAnsi="Palatino Linotype"/>
          <w:sz w:val="23"/>
          <w:szCs w:val="23"/>
        </w:rPr>
        <w:t>Sujeto Obligado</w:t>
      </w:r>
      <w:r w:rsidRPr="00022D14">
        <w:rPr>
          <w:rFonts w:ascii="Palatino Linotype" w:hAnsi="Palatino Linotype"/>
          <w:b/>
          <w:sz w:val="23"/>
          <w:szCs w:val="23"/>
        </w:rPr>
        <w:t xml:space="preserve"> </w:t>
      </w:r>
      <w:r w:rsidRPr="00022D14">
        <w:rPr>
          <w:rFonts w:ascii="Palatino Linotype" w:hAnsi="Palatino Linotype"/>
          <w:sz w:val="23"/>
          <w:szCs w:val="23"/>
        </w:rPr>
        <w:t>deberá proteger los datos de</w:t>
      </w:r>
      <w:r w:rsidR="00022D14">
        <w:rPr>
          <w:rFonts w:ascii="Palatino Linotype" w:hAnsi="Palatino Linotype"/>
          <w:sz w:val="23"/>
          <w:szCs w:val="23"/>
        </w:rPr>
        <w:t xml:space="preserve"> los mismos</w:t>
      </w:r>
      <w:r w:rsidRPr="00022D14">
        <w:rPr>
          <w:rFonts w:ascii="Palatino Linotype" w:hAnsi="Palatino Linotype"/>
          <w:sz w:val="23"/>
          <w:szCs w:val="23"/>
        </w:rPr>
        <w:t xml:space="preserve">, </w:t>
      </w:r>
      <w:r w:rsidR="00022D14">
        <w:rPr>
          <w:rFonts w:ascii="Palatino Linotype" w:hAnsi="Palatino Linotype"/>
          <w:sz w:val="23"/>
          <w:szCs w:val="23"/>
        </w:rPr>
        <w:t xml:space="preserve">por lo que </w:t>
      </w:r>
      <w:r w:rsidRPr="00022D14">
        <w:rPr>
          <w:rFonts w:ascii="Palatino Linotype" w:hAnsi="Palatino Linotype"/>
          <w:sz w:val="23"/>
          <w:szCs w:val="23"/>
        </w:rPr>
        <w:t>la entrega de la información habrá de disociarse, es decir, los datos personales de los policías no pueden asociarse a sus titulares, ni permitir por su estructura, contenido o grado de desagregación, la identificación individual de los mismos</w:t>
      </w:r>
      <w:r w:rsidR="00022D14">
        <w:rPr>
          <w:rFonts w:ascii="Palatino Linotype" w:hAnsi="Palatino Linotype"/>
          <w:sz w:val="23"/>
          <w:szCs w:val="23"/>
        </w:rPr>
        <w:t>.</w:t>
      </w: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4F719D" w:rsidRDefault="00F436A4" w:rsidP="00F511B5">
          <w:pPr>
            <w:spacing w:line="360" w:lineRule="auto"/>
            <w:rPr>
              <w:rFonts w:ascii="Palatino Linotype" w:hAnsi="Palatino Linotype"/>
              <w:color w:val="2E74B5" w:themeColor="accent1" w:themeShade="BF"/>
              <w:lang w:val="es-ES"/>
            </w:rPr>
          </w:pPr>
        </w:p>
        <w:p w:rsidR="00F436A4" w:rsidRPr="00CB061F" w:rsidRDefault="00CB061F" w:rsidP="00CB061F">
          <w:pPr>
            <w:spacing w:line="360" w:lineRule="auto"/>
            <w:rPr>
              <w:rFonts w:ascii="Palatino Linotype" w:hAnsi="Palatino Linotype"/>
              <w:color w:val="000000" w:themeColor="text1"/>
              <w:lang w:val="es-ES"/>
            </w:rPr>
          </w:pPr>
          <w:r>
            <w:rPr>
              <w:rFonts w:ascii="Palatino Linotype" w:hAnsi="Palatino Linotype"/>
              <w:color w:val="000000" w:themeColor="text1"/>
              <w:lang w:val="es-ES"/>
            </w:rPr>
            <w:lastRenderedPageBreak/>
            <w:t>Índice</w:t>
          </w:r>
        </w:p>
        <w:p w:rsidR="00022D14" w:rsidRPr="00CB061F" w:rsidRDefault="00B82DF9" w:rsidP="00CB061F">
          <w:pPr>
            <w:pStyle w:val="TDC1"/>
            <w:spacing w:line="240" w:lineRule="auto"/>
            <w:rPr>
              <w:rFonts w:asciiTheme="minorHAnsi" w:eastAsiaTheme="minorEastAsia" w:hAnsiTheme="minorHAnsi" w:cstheme="minorBidi"/>
              <w:noProof/>
              <w:sz w:val="22"/>
              <w:szCs w:val="22"/>
              <w:bdr w:val="none" w:sz="0" w:space="0" w:color="auto"/>
              <w:lang w:eastAsia="es-MX"/>
            </w:rPr>
          </w:pPr>
          <w:r w:rsidRPr="00075028">
            <w:rPr>
              <w:b/>
            </w:rPr>
            <w:fldChar w:fldCharType="begin"/>
          </w:r>
          <w:r w:rsidRPr="00075028">
            <w:rPr>
              <w:b/>
            </w:rPr>
            <w:instrText xml:space="preserve"> TOC \o "1-3" \h \z \u </w:instrText>
          </w:r>
          <w:r w:rsidRPr="00075028">
            <w:rPr>
              <w:b/>
            </w:rPr>
            <w:fldChar w:fldCharType="separate"/>
          </w:r>
          <w:hyperlink w:anchor="_Toc532283883" w:history="1">
            <w:r w:rsidR="00022D14" w:rsidRPr="00CB061F">
              <w:rPr>
                <w:rStyle w:val="Hipervnculo"/>
                <w:rFonts w:eastAsiaTheme="majorEastAsia" w:cstheme="majorBidi"/>
                <w:noProof/>
              </w:rPr>
              <w:t>I. Consideraciones Generales</w:t>
            </w:r>
            <w:r w:rsidR="00022D14" w:rsidRPr="00CB061F">
              <w:rPr>
                <w:noProof/>
                <w:webHidden/>
              </w:rPr>
              <w:tab/>
            </w:r>
            <w:r w:rsidR="00022D14" w:rsidRPr="00CB061F">
              <w:rPr>
                <w:noProof/>
                <w:webHidden/>
              </w:rPr>
              <w:fldChar w:fldCharType="begin"/>
            </w:r>
            <w:r w:rsidR="00022D14" w:rsidRPr="00CB061F">
              <w:rPr>
                <w:noProof/>
                <w:webHidden/>
              </w:rPr>
              <w:instrText xml:space="preserve"> PAGEREF _Toc532283883 \h </w:instrText>
            </w:r>
            <w:r w:rsidR="00022D14" w:rsidRPr="00CB061F">
              <w:rPr>
                <w:noProof/>
                <w:webHidden/>
              </w:rPr>
            </w:r>
            <w:r w:rsidR="00022D14" w:rsidRPr="00CB061F">
              <w:rPr>
                <w:noProof/>
                <w:webHidden/>
              </w:rPr>
              <w:fldChar w:fldCharType="separate"/>
            </w:r>
            <w:r w:rsidR="003569D1">
              <w:rPr>
                <w:noProof/>
                <w:webHidden/>
              </w:rPr>
              <w:t>2</w:t>
            </w:r>
            <w:r w:rsidR="00022D14" w:rsidRPr="00CB061F">
              <w:rPr>
                <w:noProof/>
                <w:webHidden/>
              </w:rPr>
              <w:fldChar w:fldCharType="end"/>
            </w:r>
          </w:hyperlink>
        </w:p>
        <w:p w:rsidR="00022D14" w:rsidRPr="00CB061F" w:rsidRDefault="00FD78FB" w:rsidP="00CB061F">
          <w:pPr>
            <w:pStyle w:val="TDC1"/>
            <w:spacing w:line="240" w:lineRule="auto"/>
            <w:rPr>
              <w:rFonts w:asciiTheme="minorHAnsi" w:eastAsiaTheme="minorEastAsia" w:hAnsiTheme="minorHAnsi" w:cstheme="minorBidi"/>
              <w:noProof/>
              <w:sz w:val="22"/>
              <w:szCs w:val="22"/>
              <w:bdr w:val="none" w:sz="0" w:space="0" w:color="auto"/>
              <w:lang w:eastAsia="es-MX"/>
            </w:rPr>
          </w:pPr>
          <w:hyperlink w:anchor="_Toc532283884" w:history="1">
            <w:r w:rsidR="00022D14" w:rsidRPr="00CB061F">
              <w:rPr>
                <w:rStyle w:val="Hipervnculo"/>
                <w:noProof/>
              </w:rPr>
              <w:t>II.</w:t>
            </w:r>
            <w:r w:rsidR="00022D14" w:rsidRPr="00CB061F">
              <w:rPr>
                <w:rFonts w:asciiTheme="minorHAnsi" w:eastAsiaTheme="minorEastAsia" w:hAnsiTheme="minorHAnsi" w:cstheme="minorBidi"/>
                <w:noProof/>
                <w:sz w:val="22"/>
                <w:szCs w:val="22"/>
                <w:bdr w:val="none" w:sz="0" w:space="0" w:color="auto"/>
                <w:lang w:eastAsia="es-MX"/>
              </w:rPr>
              <w:tab/>
            </w:r>
            <w:r w:rsidR="00022D14" w:rsidRPr="00CB061F">
              <w:rPr>
                <w:rStyle w:val="Hipervnculo"/>
                <w:noProof/>
              </w:rPr>
              <w:t>De los requerimientos planteados en el recurso de revisión.</w:t>
            </w:r>
            <w:r w:rsidR="00022D14" w:rsidRPr="00CB061F">
              <w:rPr>
                <w:noProof/>
                <w:webHidden/>
              </w:rPr>
              <w:tab/>
            </w:r>
            <w:r w:rsidR="00022D14" w:rsidRPr="00CB061F">
              <w:rPr>
                <w:noProof/>
                <w:webHidden/>
              </w:rPr>
              <w:fldChar w:fldCharType="begin"/>
            </w:r>
            <w:r w:rsidR="00022D14" w:rsidRPr="00CB061F">
              <w:rPr>
                <w:noProof/>
                <w:webHidden/>
              </w:rPr>
              <w:instrText xml:space="preserve"> PAGEREF _Toc532283884 \h </w:instrText>
            </w:r>
            <w:r w:rsidR="00022D14" w:rsidRPr="00CB061F">
              <w:rPr>
                <w:noProof/>
                <w:webHidden/>
              </w:rPr>
            </w:r>
            <w:r w:rsidR="00022D14" w:rsidRPr="00CB061F">
              <w:rPr>
                <w:noProof/>
                <w:webHidden/>
              </w:rPr>
              <w:fldChar w:fldCharType="separate"/>
            </w:r>
            <w:r w:rsidR="003569D1">
              <w:rPr>
                <w:noProof/>
                <w:webHidden/>
              </w:rPr>
              <w:t>3</w:t>
            </w:r>
            <w:r w:rsidR="00022D14" w:rsidRPr="00CB061F">
              <w:rPr>
                <w:noProof/>
                <w:webHidden/>
              </w:rPr>
              <w:fldChar w:fldCharType="end"/>
            </w:r>
          </w:hyperlink>
        </w:p>
        <w:p w:rsidR="00022D14" w:rsidRPr="00CB061F" w:rsidRDefault="00FD78FB" w:rsidP="00CB061F">
          <w:pPr>
            <w:pStyle w:val="TDC1"/>
            <w:spacing w:line="240" w:lineRule="auto"/>
            <w:rPr>
              <w:rFonts w:asciiTheme="minorHAnsi" w:eastAsiaTheme="minorEastAsia" w:hAnsiTheme="minorHAnsi" w:cstheme="minorBidi"/>
              <w:noProof/>
              <w:sz w:val="22"/>
              <w:szCs w:val="22"/>
              <w:bdr w:val="none" w:sz="0" w:space="0" w:color="auto"/>
              <w:lang w:eastAsia="es-MX"/>
            </w:rPr>
          </w:pPr>
          <w:hyperlink w:anchor="_Toc532283885" w:history="1">
            <w:r w:rsidR="00022D14" w:rsidRPr="00CB061F">
              <w:rPr>
                <w:rStyle w:val="Hipervnculo"/>
                <w:noProof/>
              </w:rPr>
              <w:t>III.</w:t>
            </w:r>
            <w:r w:rsidR="00022D14" w:rsidRPr="00CB061F">
              <w:rPr>
                <w:rFonts w:asciiTheme="minorHAnsi" w:eastAsiaTheme="minorEastAsia" w:hAnsiTheme="minorHAnsi" w:cstheme="minorBidi"/>
                <w:noProof/>
                <w:sz w:val="22"/>
                <w:szCs w:val="22"/>
                <w:bdr w:val="none" w:sz="0" w:space="0" w:color="auto"/>
                <w:lang w:eastAsia="es-MX"/>
              </w:rPr>
              <w:tab/>
            </w:r>
            <w:r w:rsidR="00022D14" w:rsidRPr="00CB061F">
              <w:rPr>
                <w:rStyle w:val="Hipervnculo"/>
                <w:noProof/>
              </w:rPr>
              <w:t>Del estudio de la ponencia.</w:t>
            </w:r>
            <w:r w:rsidR="00022D14" w:rsidRPr="00CB061F">
              <w:rPr>
                <w:noProof/>
                <w:webHidden/>
              </w:rPr>
              <w:tab/>
            </w:r>
            <w:r w:rsidR="00022D14" w:rsidRPr="00CB061F">
              <w:rPr>
                <w:noProof/>
                <w:webHidden/>
              </w:rPr>
              <w:fldChar w:fldCharType="begin"/>
            </w:r>
            <w:r w:rsidR="00022D14" w:rsidRPr="00CB061F">
              <w:rPr>
                <w:noProof/>
                <w:webHidden/>
              </w:rPr>
              <w:instrText xml:space="preserve"> PAGEREF _Toc532283885 \h </w:instrText>
            </w:r>
            <w:r w:rsidR="00022D14" w:rsidRPr="00CB061F">
              <w:rPr>
                <w:noProof/>
                <w:webHidden/>
              </w:rPr>
            </w:r>
            <w:r w:rsidR="00022D14" w:rsidRPr="00CB061F">
              <w:rPr>
                <w:noProof/>
                <w:webHidden/>
              </w:rPr>
              <w:fldChar w:fldCharType="separate"/>
            </w:r>
            <w:r w:rsidR="003569D1">
              <w:rPr>
                <w:noProof/>
                <w:webHidden/>
              </w:rPr>
              <w:t>4</w:t>
            </w:r>
            <w:r w:rsidR="00022D14" w:rsidRPr="00CB061F">
              <w:rPr>
                <w:noProof/>
                <w:webHidden/>
              </w:rPr>
              <w:fldChar w:fldCharType="end"/>
            </w:r>
          </w:hyperlink>
        </w:p>
        <w:p w:rsidR="00022D14" w:rsidRPr="00CB061F" w:rsidRDefault="00FD78FB" w:rsidP="00CB061F">
          <w:pPr>
            <w:pStyle w:val="TDC1"/>
            <w:spacing w:line="240" w:lineRule="auto"/>
            <w:rPr>
              <w:rFonts w:asciiTheme="minorHAnsi" w:eastAsiaTheme="minorEastAsia" w:hAnsiTheme="minorHAnsi" w:cstheme="minorBidi"/>
              <w:noProof/>
              <w:sz w:val="22"/>
              <w:szCs w:val="22"/>
              <w:bdr w:val="none" w:sz="0" w:space="0" w:color="auto"/>
              <w:lang w:eastAsia="es-MX"/>
            </w:rPr>
          </w:pPr>
          <w:hyperlink w:anchor="_Toc532283886" w:history="1">
            <w:r w:rsidR="00022D14" w:rsidRPr="00CB061F">
              <w:rPr>
                <w:rStyle w:val="Hipervnculo"/>
                <w:noProof/>
              </w:rPr>
              <w:t>IV.</w:t>
            </w:r>
            <w:r w:rsidR="00022D14" w:rsidRPr="00CB061F">
              <w:rPr>
                <w:rFonts w:asciiTheme="minorHAnsi" w:eastAsiaTheme="minorEastAsia" w:hAnsiTheme="minorHAnsi" w:cstheme="minorBidi"/>
                <w:noProof/>
                <w:sz w:val="22"/>
                <w:szCs w:val="22"/>
                <w:bdr w:val="none" w:sz="0" w:space="0" w:color="auto"/>
                <w:lang w:eastAsia="es-MX"/>
              </w:rPr>
              <w:tab/>
            </w:r>
            <w:r w:rsidR="00022D14" w:rsidRPr="00CB061F">
              <w:rPr>
                <w:rStyle w:val="Hipervnculo"/>
                <w:noProof/>
              </w:rPr>
              <w:t>Del personal de seguridad pública.</w:t>
            </w:r>
            <w:r w:rsidR="00022D14" w:rsidRPr="00CB061F">
              <w:rPr>
                <w:noProof/>
                <w:webHidden/>
              </w:rPr>
              <w:tab/>
            </w:r>
            <w:r w:rsidR="00022D14" w:rsidRPr="00CB061F">
              <w:rPr>
                <w:noProof/>
                <w:webHidden/>
              </w:rPr>
              <w:fldChar w:fldCharType="begin"/>
            </w:r>
            <w:r w:rsidR="00022D14" w:rsidRPr="00CB061F">
              <w:rPr>
                <w:noProof/>
                <w:webHidden/>
              </w:rPr>
              <w:instrText xml:space="preserve"> PAGEREF _Toc532283886 \h </w:instrText>
            </w:r>
            <w:r w:rsidR="00022D14" w:rsidRPr="00CB061F">
              <w:rPr>
                <w:noProof/>
                <w:webHidden/>
              </w:rPr>
            </w:r>
            <w:r w:rsidR="00022D14" w:rsidRPr="00CB061F">
              <w:rPr>
                <w:noProof/>
                <w:webHidden/>
              </w:rPr>
              <w:fldChar w:fldCharType="separate"/>
            </w:r>
            <w:r w:rsidR="003569D1">
              <w:rPr>
                <w:noProof/>
                <w:webHidden/>
              </w:rPr>
              <w:t>6</w:t>
            </w:r>
            <w:r w:rsidR="00022D14" w:rsidRPr="00CB061F">
              <w:rPr>
                <w:noProof/>
                <w:webHidden/>
              </w:rPr>
              <w:fldChar w:fldCharType="end"/>
            </w:r>
          </w:hyperlink>
        </w:p>
        <w:p w:rsidR="00022D14" w:rsidRDefault="00FD78FB" w:rsidP="00CB061F">
          <w:pPr>
            <w:pStyle w:val="TDC1"/>
            <w:spacing w:line="240" w:lineRule="auto"/>
            <w:rPr>
              <w:rStyle w:val="Hipervnculo"/>
              <w:b/>
              <w:noProof/>
            </w:rPr>
          </w:pPr>
          <w:hyperlink w:anchor="_Toc532283887" w:history="1">
            <w:r w:rsidR="00022D14" w:rsidRPr="00CB061F">
              <w:rPr>
                <w:rStyle w:val="Hipervnculo"/>
                <w:noProof/>
              </w:rPr>
              <w:t>V.</w:t>
            </w:r>
            <w:r w:rsidR="00022D14" w:rsidRPr="00CB061F">
              <w:rPr>
                <w:rFonts w:asciiTheme="minorHAnsi" w:eastAsiaTheme="minorEastAsia" w:hAnsiTheme="minorHAnsi" w:cstheme="minorBidi"/>
                <w:noProof/>
                <w:sz w:val="22"/>
                <w:szCs w:val="22"/>
                <w:bdr w:val="none" w:sz="0" w:space="0" w:color="auto"/>
                <w:lang w:eastAsia="es-MX"/>
              </w:rPr>
              <w:tab/>
            </w:r>
            <w:r w:rsidR="00022D14" w:rsidRPr="00CB061F">
              <w:rPr>
                <w:rStyle w:val="Hipervnculo"/>
                <w:noProof/>
              </w:rPr>
              <w:t>De la disociación.</w:t>
            </w:r>
            <w:r w:rsidR="00022D14" w:rsidRPr="00CB061F">
              <w:rPr>
                <w:noProof/>
                <w:webHidden/>
              </w:rPr>
              <w:tab/>
            </w:r>
            <w:r w:rsidR="00022D14" w:rsidRPr="00CB061F">
              <w:rPr>
                <w:noProof/>
                <w:webHidden/>
              </w:rPr>
              <w:fldChar w:fldCharType="begin"/>
            </w:r>
            <w:r w:rsidR="00022D14" w:rsidRPr="00CB061F">
              <w:rPr>
                <w:noProof/>
                <w:webHidden/>
              </w:rPr>
              <w:instrText xml:space="preserve"> PAGEREF _Toc532283887 \h </w:instrText>
            </w:r>
            <w:r w:rsidR="00022D14" w:rsidRPr="00CB061F">
              <w:rPr>
                <w:noProof/>
                <w:webHidden/>
              </w:rPr>
            </w:r>
            <w:r w:rsidR="00022D14" w:rsidRPr="00CB061F">
              <w:rPr>
                <w:noProof/>
                <w:webHidden/>
              </w:rPr>
              <w:fldChar w:fldCharType="separate"/>
            </w:r>
            <w:r w:rsidR="003569D1">
              <w:rPr>
                <w:noProof/>
                <w:webHidden/>
              </w:rPr>
              <w:t>7</w:t>
            </w:r>
            <w:r w:rsidR="00022D14" w:rsidRPr="00CB061F">
              <w:rPr>
                <w:noProof/>
                <w:webHidden/>
              </w:rPr>
              <w:fldChar w:fldCharType="end"/>
            </w:r>
          </w:hyperlink>
        </w:p>
        <w:p w:rsidR="00EF2C52" w:rsidRPr="004F719D" w:rsidRDefault="00B82DF9" w:rsidP="00F511B5">
          <w:pPr>
            <w:spacing w:line="360" w:lineRule="auto"/>
            <w:rPr>
              <w:rFonts w:ascii="Palatino Linotype" w:hAnsi="Palatino Linotype"/>
              <w:b/>
              <w:bCs/>
              <w:color w:val="000000" w:themeColor="text1"/>
            </w:rPr>
          </w:pPr>
          <w:r w:rsidRPr="00075028">
            <w:rPr>
              <w:rFonts w:ascii="Palatino Linotype" w:hAnsi="Palatino Linotype"/>
              <w:b/>
              <w:bCs/>
              <w:color w:val="000000" w:themeColor="text1"/>
            </w:rPr>
            <w:fldChar w:fldCharType="end"/>
          </w:r>
        </w:p>
      </w:sdtContent>
    </w:sdt>
    <w:p w:rsidR="00A3395D" w:rsidRPr="004F719D" w:rsidRDefault="00343467" w:rsidP="00F511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0" w:name="_Toc493504860"/>
      <w:bookmarkStart w:id="1" w:name="_Toc532283883"/>
      <w:r w:rsidRPr="004F719D">
        <w:rPr>
          <w:rFonts w:ascii="Palatino Linotype" w:eastAsiaTheme="majorEastAsia" w:hAnsi="Palatino Linotype" w:cstheme="majorBidi"/>
          <w:b/>
        </w:rPr>
        <w:t xml:space="preserve">I. </w:t>
      </w:r>
      <w:r w:rsidR="00A3395D" w:rsidRPr="004F719D">
        <w:rPr>
          <w:rFonts w:ascii="Palatino Linotype" w:eastAsiaTheme="majorEastAsia" w:hAnsi="Palatino Linotype" w:cstheme="majorBidi"/>
          <w:b/>
        </w:rPr>
        <w:t>Consideraciones Generales</w:t>
      </w:r>
      <w:bookmarkEnd w:id="0"/>
      <w:bookmarkEnd w:id="1"/>
    </w:p>
    <w:p w:rsidR="00A3395D" w:rsidRPr="004F719D" w:rsidRDefault="00A3395D"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rPr>
      </w:pPr>
    </w:p>
    <w:p w:rsidR="00CC0EC5" w:rsidRPr="00924DF4" w:rsidRDefault="00B97430"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eastAsia="Times New Roman" w:hAnsi="Palatino Linotype" w:cs="Arial"/>
          <w:lang w:val="es-ES_tradnl"/>
        </w:rPr>
        <w:t>He concurrido con mi voto particular</w:t>
      </w:r>
      <w:r w:rsidR="0044164A">
        <w:rPr>
          <w:rFonts w:ascii="Palatino Linotype" w:eastAsia="Times New Roman" w:hAnsi="Palatino Linotype" w:cs="Arial"/>
          <w:lang w:val="es-ES_tradnl"/>
        </w:rPr>
        <w:t xml:space="preserve"> </w:t>
      </w:r>
      <w:r>
        <w:rPr>
          <w:rFonts w:ascii="Palatino Linotype" w:eastAsia="Times New Roman" w:hAnsi="Palatino Linotype" w:cs="Arial"/>
          <w:lang w:val="es-ES_tradnl"/>
        </w:rPr>
        <w:t>en</w:t>
      </w:r>
      <w:r w:rsidR="00CC0EC5" w:rsidRPr="00924DF4">
        <w:rPr>
          <w:rFonts w:ascii="Palatino Linotype" w:eastAsia="Times New Roman" w:hAnsi="Palatino Linotype" w:cs="Arial"/>
          <w:lang w:val="es-ES_tradnl"/>
        </w:rPr>
        <w:t xml:space="preserve"> la presente resolución emitida </w:t>
      </w:r>
      <w:r w:rsidR="00CC0EC5" w:rsidRPr="00924DF4">
        <w:rPr>
          <w:rFonts w:ascii="Palatino Linotype" w:hAnsi="Palatino Linotype" w:cs="Arial"/>
        </w:rPr>
        <w:t>por el Pleno del Instituto de Transparencia, Acceso a la Información Pública y Protección de Datos Personales del Estado de Méxic</w:t>
      </w:r>
      <w:r>
        <w:rPr>
          <w:rFonts w:ascii="Palatino Linotype" w:hAnsi="Palatino Linotype" w:cs="Arial"/>
        </w:rPr>
        <w:t xml:space="preserve">o y Municipios, en su </w:t>
      </w:r>
      <w:r w:rsidR="00F7127D">
        <w:rPr>
          <w:rFonts w:ascii="Palatino Linotype" w:hAnsi="Palatino Linotype" w:cs="Arial"/>
        </w:rPr>
        <w:t>Cuarta</w:t>
      </w:r>
      <w:r w:rsidR="00CC0EC5" w:rsidRPr="00924DF4">
        <w:rPr>
          <w:rFonts w:ascii="Palatino Linotype" w:hAnsi="Palatino Linotype" w:cs="Arial"/>
        </w:rPr>
        <w:t xml:space="preserve"> Sesión Ordinaria de fecha </w:t>
      </w:r>
      <w:r w:rsidR="00F7127D">
        <w:rPr>
          <w:rFonts w:ascii="Palatino Linotype" w:hAnsi="Palatino Linotype" w:cs="Arial"/>
        </w:rPr>
        <w:t>treinta</w:t>
      </w:r>
      <w:r w:rsidR="00CC0EC5" w:rsidRPr="00F95E27">
        <w:rPr>
          <w:rFonts w:ascii="Palatino Linotype" w:hAnsi="Palatino Linotype" w:cs="Arial"/>
        </w:rPr>
        <w:t xml:space="preserve"> </w:t>
      </w:r>
      <w:r w:rsidR="00B32143">
        <w:rPr>
          <w:rFonts w:ascii="Palatino Linotype" w:hAnsi="Palatino Linotype" w:cs="Arial"/>
        </w:rPr>
        <w:t>(</w:t>
      </w:r>
      <w:r w:rsidR="00F7127D">
        <w:rPr>
          <w:rFonts w:ascii="Palatino Linotype" w:hAnsi="Palatino Linotype" w:cs="Arial"/>
        </w:rPr>
        <w:t>30</w:t>
      </w:r>
      <w:r w:rsidR="00B1415F" w:rsidRPr="00F95E27">
        <w:rPr>
          <w:rFonts w:ascii="Palatino Linotype" w:hAnsi="Palatino Linotype" w:cs="Arial"/>
        </w:rPr>
        <w:t xml:space="preserve">) de </w:t>
      </w:r>
      <w:r w:rsidR="00F7127D">
        <w:rPr>
          <w:rFonts w:ascii="Palatino Linotype" w:hAnsi="Palatino Linotype" w:cs="Arial"/>
        </w:rPr>
        <w:t>enero</w:t>
      </w:r>
      <w:r w:rsidR="00CC0EC5" w:rsidRPr="00F95E27">
        <w:rPr>
          <w:rFonts w:ascii="Palatino Linotype" w:hAnsi="Palatino Linotype" w:cs="Arial"/>
        </w:rPr>
        <w:t xml:space="preserve"> de dos mil dieci</w:t>
      </w:r>
      <w:r w:rsidR="00F7127D">
        <w:rPr>
          <w:rFonts w:ascii="Palatino Linotype" w:hAnsi="Palatino Linotype" w:cs="Arial"/>
        </w:rPr>
        <w:t>nueve</w:t>
      </w:r>
      <w:r w:rsidR="00CC0EC5" w:rsidRPr="00924DF4">
        <w:rPr>
          <w:rFonts w:ascii="Palatino Linotype" w:hAnsi="Palatino Linotype" w:cs="Arial"/>
        </w:rPr>
        <w:t xml:space="preserve">, en el recurso de revisión promovido </w:t>
      </w:r>
      <w:r w:rsidR="00F511B5">
        <w:rPr>
          <w:rFonts w:ascii="Palatino Linotype" w:hAnsi="Palatino Linotype" w:cs="Arial"/>
        </w:rPr>
        <w:t xml:space="preserve">en contra de las respuesta del </w:t>
      </w:r>
      <w:r w:rsidR="00B32143">
        <w:rPr>
          <w:rFonts w:ascii="Palatino Linotype" w:hAnsi="Palatino Linotype" w:cs="Arial"/>
          <w:b/>
        </w:rPr>
        <w:t xml:space="preserve">Ayuntamiento de </w:t>
      </w:r>
      <w:proofErr w:type="spellStart"/>
      <w:r w:rsidR="00CB061F">
        <w:rPr>
          <w:rFonts w:ascii="Palatino Linotype" w:hAnsi="Palatino Linotype" w:cs="Arial"/>
          <w:b/>
        </w:rPr>
        <w:t>Temascalcingo</w:t>
      </w:r>
      <w:proofErr w:type="spellEnd"/>
      <w:r w:rsidR="00CC0EC5" w:rsidRPr="00924DF4">
        <w:rPr>
          <w:rFonts w:ascii="Palatino Linotype" w:hAnsi="Palatino Linotype" w:cs="Arial"/>
        </w:rPr>
        <w:t>, procedimiento al que</w:t>
      </w:r>
      <w:r w:rsidR="00F95E27">
        <w:rPr>
          <w:rFonts w:ascii="Palatino Linotype" w:hAnsi="Palatino Linotype" w:cs="Arial"/>
        </w:rPr>
        <w:t xml:space="preserve"> se le asignó el</w:t>
      </w:r>
      <w:r w:rsidR="00CC0EC5" w:rsidRPr="00924DF4">
        <w:rPr>
          <w:rFonts w:ascii="Palatino Linotype" w:hAnsi="Palatino Linotype" w:cs="Arial"/>
        </w:rPr>
        <w:t xml:space="preserve"> número de expediente </w:t>
      </w:r>
      <w:r w:rsidR="00366D22">
        <w:rPr>
          <w:rFonts w:ascii="Palatino Linotype" w:eastAsia="Times New Roman" w:hAnsi="Palatino Linotype" w:cs="Arial"/>
          <w:bCs/>
          <w:lang w:eastAsia="es-ES"/>
        </w:rPr>
        <w:t xml:space="preserve">señalado al rubro. </w:t>
      </w:r>
    </w:p>
    <w:p w:rsidR="003331EE" w:rsidRPr="004F719D" w:rsidRDefault="003331EE"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rPr>
      </w:pPr>
    </w:p>
    <w:p w:rsidR="00CC0EC5" w:rsidRPr="00F95E27" w:rsidRDefault="00CB061F" w:rsidP="00F95E2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La resolución determina que resultan fundada</w:t>
      </w:r>
      <w:r w:rsidR="00F95E27">
        <w:rPr>
          <w:rFonts w:ascii="Palatino Linotype" w:hAnsi="Palatino Linotype" w:cs="Arial"/>
        </w:rPr>
        <w:t>s</w:t>
      </w:r>
      <w:r w:rsidR="00CC0EC5" w:rsidRPr="00924DF4">
        <w:rPr>
          <w:rFonts w:ascii="Palatino Linotype" w:hAnsi="Palatino Linotype" w:cs="Arial"/>
        </w:rPr>
        <w:t xml:space="preserve"> </w:t>
      </w:r>
      <w:r>
        <w:rPr>
          <w:rFonts w:ascii="Palatino Linotype" w:hAnsi="Palatino Linotype" w:cs="Arial"/>
        </w:rPr>
        <w:t>las razones o motivos de inconformidad</w:t>
      </w:r>
      <w:r w:rsidR="00CC0EC5" w:rsidRPr="00924DF4">
        <w:rPr>
          <w:rFonts w:ascii="Palatino Linotype" w:hAnsi="Palatino Linotype" w:cs="Arial"/>
        </w:rPr>
        <w:t xml:space="preserve"> </w:t>
      </w:r>
      <w:r>
        <w:rPr>
          <w:rFonts w:ascii="Palatino Linotype" w:hAnsi="Palatino Linotype" w:cs="Arial"/>
        </w:rPr>
        <w:t xml:space="preserve">hechos valer por </w:t>
      </w:r>
      <w:proofErr w:type="spellStart"/>
      <w:r>
        <w:rPr>
          <w:rFonts w:ascii="Palatino Linotype" w:hAnsi="Palatino Linotype" w:cs="Arial"/>
        </w:rPr>
        <w:t>el</w:t>
      </w:r>
      <w:proofErr w:type="spellEnd"/>
      <w:r>
        <w:rPr>
          <w:rFonts w:ascii="Palatino Linotype" w:hAnsi="Palatino Linotype" w:cs="Arial"/>
        </w:rPr>
        <w:t xml:space="preserve"> recurrente</w:t>
      </w:r>
      <w:r w:rsidR="00CC0EC5" w:rsidRPr="00924DF4">
        <w:rPr>
          <w:rFonts w:ascii="Palatino Linotype" w:hAnsi="Palatino Linotype" w:cs="Arial"/>
        </w:rPr>
        <w:t>, en términos de</w:t>
      </w:r>
      <w:r>
        <w:rPr>
          <w:rFonts w:ascii="Palatino Linotype" w:hAnsi="Palatino Linotype" w:cs="Arial"/>
        </w:rPr>
        <w:t xml:space="preserve"> </w:t>
      </w:r>
      <w:r w:rsidR="00CC0EC5" w:rsidRPr="00924DF4">
        <w:rPr>
          <w:rFonts w:ascii="Palatino Linotype" w:hAnsi="Palatino Linotype" w:cs="Arial"/>
        </w:rPr>
        <w:t>l</w:t>
      </w:r>
      <w:r>
        <w:rPr>
          <w:rFonts w:ascii="Palatino Linotype" w:hAnsi="Palatino Linotype" w:cs="Arial"/>
        </w:rPr>
        <w:t>os</w:t>
      </w:r>
      <w:r w:rsidR="00CC0EC5" w:rsidRPr="00924DF4">
        <w:rPr>
          <w:rFonts w:ascii="Palatino Linotype" w:hAnsi="Palatino Linotype" w:cs="Arial"/>
        </w:rPr>
        <w:t xml:space="preserve"> Considerando</w:t>
      </w:r>
      <w:r>
        <w:rPr>
          <w:rFonts w:ascii="Palatino Linotype" w:hAnsi="Palatino Linotype" w:cs="Arial"/>
        </w:rPr>
        <w:t>s</w:t>
      </w:r>
      <w:r w:rsidR="00CC0EC5" w:rsidRPr="00924DF4">
        <w:rPr>
          <w:rFonts w:ascii="Palatino Linotype" w:hAnsi="Palatino Linotype" w:cs="Arial"/>
        </w:rPr>
        <w:t xml:space="preserve"> </w:t>
      </w:r>
      <w:r w:rsidR="00B32143" w:rsidRPr="00CB061F">
        <w:rPr>
          <w:rFonts w:ascii="Palatino Linotype" w:hAnsi="Palatino Linotype" w:cs="Arial"/>
        </w:rPr>
        <w:t>QUINTO</w:t>
      </w:r>
      <w:r>
        <w:rPr>
          <w:rFonts w:ascii="Palatino Linotype" w:hAnsi="Palatino Linotype" w:cs="Arial"/>
        </w:rPr>
        <w:t xml:space="preserve"> y SÉPTIMO</w:t>
      </w:r>
      <w:r w:rsidR="00CC0EC5" w:rsidRPr="00924DF4">
        <w:rPr>
          <w:rFonts w:ascii="Palatino Linotype" w:hAnsi="Palatino Linotype" w:cs="Arial"/>
        </w:rPr>
        <w:t xml:space="preserve"> de la resolución</w:t>
      </w:r>
      <w:r w:rsidR="00CC0EC5">
        <w:rPr>
          <w:rFonts w:ascii="Palatino Linotype" w:hAnsi="Palatino Linotype" w:cs="Arial"/>
        </w:rPr>
        <w:t>,</w:t>
      </w:r>
      <w:r w:rsidR="00CC0EC5" w:rsidRPr="00924DF4">
        <w:rPr>
          <w:rFonts w:ascii="Palatino Linotype" w:hAnsi="Palatino Linotype" w:cs="Arial"/>
        </w:rPr>
        <w:t xml:space="preserve"> por lo que la ponencia </w:t>
      </w:r>
      <w:proofErr w:type="spellStart"/>
      <w:r>
        <w:rPr>
          <w:rFonts w:ascii="Palatino Linotype" w:hAnsi="Palatino Linotype" w:cs="Arial"/>
        </w:rPr>
        <w:t>resolutora</w:t>
      </w:r>
      <w:proofErr w:type="spellEnd"/>
      <w:r w:rsidR="00CC0EC5" w:rsidRPr="00924DF4">
        <w:rPr>
          <w:rFonts w:ascii="Palatino Linotype" w:hAnsi="Palatino Linotype" w:cs="Arial"/>
        </w:rPr>
        <w:t xml:space="preserve"> consideró</w:t>
      </w:r>
      <w:r w:rsidR="00B32143">
        <w:rPr>
          <w:rFonts w:ascii="Palatino Linotype" w:hAnsi="Palatino Linotype" w:cs="Arial"/>
        </w:rPr>
        <w:t xml:space="preserve"> </w:t>
      </w:r>
      <w:r>
        <w:rPr>
          <w:rFonts w:ascii="Palatino Linotype" w:hAnsi="Palatino Linotype" w:cs="Arial"/>
        </w:rPr>
        <w:t>ordenar</w:t>
      </w:r>
      <w:r w:rsidR="00CC0EC5" w:rsidRPr="00A6390E">
        <w:rPr>
          <w:rFonts w:ascii="Palatino Linotype" w:hAnsi="Palatino Linotype" w:cs="Arial"/>
          <w:b/>
        </w:rPr>
        <w:t xml:space="preserve"> </w:t>
      </w:r>
      <w:r w:rsidR="00B32143">
        <w:rPr>
          <w:rFonts w:ascii="Palatino Linotype" w:hAnsi="Palatino Linotype" w:cs="Arial"/>
        </w:rPr>
        <w:t xml:space="preserve">previa búsqueda exhaustiva y razonable en todas las áreas competentes, </w:t>
      </w:r>
      <w:r>
        <w:rPr>
          <w:rFonts w:ascii="Palatino Linotype" w:hAnsi="Palatino Linotype" w:cs="Arial"/>
        </w:rPr>
        <w:t xml:space="preserve">la nómina de los servidores públicos adscritos al </w:t>
      </w:r>
      <w:r>
        <w:rPr>
          <w:rFonts w:ascii="Palatino Linotype" w:hAnsi="Palatino Linotype" w:cs="Arial"/>
          <w:b/>
        </w:rPr>
        <w:t xml:space="preserve">Ayuntamiento de </w:t>
      </w:r>
      <w:proofErr w:type="spellStart"/>
      <w:r>
        <w:rPr>
          <w:rFonts w:ascii="Palatino Linotype" w:hAnsi="Palatino Linotype" w:cs="Arial"/>
          <w:b/>
        </w:rPr>
        <w:t>Temascalcingo</w:t>
      </w:r>
      <w:proofErr w:type="spellEnd"/>
      <w:r>
        <w:rPr>
          <w:rFonts w:ascii="Palatino Linotype" w:hAnsi="Palatino Linotype" w:cs="Arial"/>
          <w:b/>
        </w:rPr>
        <w:t xml:space="preserve"> </w:t>
      </w:r>
      <w:r>
        <w:rPr>
          <w:rFonts w:ascii="Palatino Linotype" w:hAnsi="Palatino Linotype" w:cs="Arial"/>
        </w:rPr>
        <w:t xml:space="preserve">y a los Organismo Descentralizados; que contengan la categoría, área de adscripción, </w:t>
      </w:r>
      <w:r>
        <w:rPr>
          <w:rFonts w:ascii="Palatino Linotype" w:hAnsi="Palatino Linotype" w:cs="Arial"/>
        </w:rPr>
        <w:lastRenderedPageBreak/>
        <w:t xml:space="preserve">salario bruto y neto mensual de la primera y segunda quincena de los meses de agosto y septiembre del año dos mil dieciocho. </w:t>
      </w:r>
    </w:p>
    <w:p w:rsidR="00CC0EC5" w:rsidRPr="00CC0EC5" w:rsidRDefault="00CC0EC5" w:rsidP="00EF2C52">
      <w:pPr>
        <w:pStyle w:val="Prrafodelista"/>
        <w:rPr>
          <w:rFonts w:ascii="Palatino Linotype" w:hAnsi="Palatino Linotype" w:cs="Arial"/>
          <w:color w:val="000000" w:themeColor="text1"/>
        </w:rPr>
      </w:pPr>
    </w:p>
    <w:p w:rsidR="00CC0EC5" w:rsidRP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color w:val="000000" w:themeColor="text1"/>
        </w:rPr>
        <w:t xml:space="preserve">Por </w:t>
      </w:r>
      <w:r w:rsidR="007B70C2" w:rsidRPr="00CC0EC5">
        <w:rPr>
          <w:rFonts w:ascii="Palatino Linotype" w:hAnsi="Palatino Linotype" w:cs="Arial"/>
          <w:color w:val="000000" w:themeColor="text1"/>
        </w:rPr>
        <w:t xml:space="preserve">los motivos y las razones de hecho y de derecho que se señalan a continuación y en términos de lo señalado por </w:t>
      </w:r>
      <w:r w:rsidR="00E12C1D" w:rsidRPr="00CC0EC5">
        <w:rPr>
          <w:rFonts w:ascii="Palatino Linotype" w:hAnsi="Palatino Linotype" w:cs="Arial"/>
          <w:color w:val="000000" w:themeColor="text1"/>
        </w:rPr>
        <w:t>el</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artículo</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14</w:t>
      </w:r>
      <w:r w:rsidR="007B70C2" w:rsidRPr="00CC0EC5">
        <w:rPr>
          <w:rFonts w:ascii="Palatino Linotype" w:hAnsi="Palatino Linotype" w:cs="Arial"/>
          <w:color w:val="000000" w:themeColor="text1"/>
        </w:rPr>
        <w:t xml:space="preserve"> fracción </w:t>
      </w:r>
      <w:r w:rsidR="00E12C1D" w:rsidRPr="00CC0EC5">
        <w:rPr>
          <w:rFonts w:ascii="Palatino Linotype" w:hAnsi="Palatino Linotype" w:cs="Arial"/>
          <w:color w:val="000000" w:themeColor="text1"/>
        </w:rPr>
        <w:t>XI</w:t>
      </w:r>
      <w:r w:rsidR="007B70C2" w:rsidRPr="00CC0EC5">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CC0EC5">
        <w:rPr>
          <w:rFonts w:ascii="Palatino Linotype" w:hAnsi="Palatino Linotype" w:cs="Arial"/>
          <w:color w:val="000000" w:themeColor="text1"/>
        </w:rPr>
        <w:t>,</w:t>
      </w:r>
      <w:r w:rsidR="007B70C2" w:rsidRPr="00CC0EC5">
        <w:rPr>
          <w:rFonts w:ascii="Palatino Linotype" w:hAnsi="Palatino Linotype" w:cs="Arial"/>
          <w:color w:val="000000" w:themeColor="text1"/>
        </w:rPr>
        <w:t xml:space="preserve"> fo</w:t>
      </w:r>
      <w:r w:rsidR="00374684">
        <w:rPr>
          <w:rFonts w:ascii="Palatino Linotype" w:hAnsi="Palatino Linotype" w:cs="Arial"/>
          <w:color w:val="000000" w:themeColor="text1"/>
        </w:rPr>
        <w:t>rmulo el presente voto particular</w:t>
      </w:r>
      <w:r w:rsidR="007B70C2" w:rsidRPr="00CC0EC5">
        <w:rPr>
          <w:rFonts w:ascii="Palatino Linotype" w:hAnsi="Palatino Linotype" w:cs="Arial"/>
          <w:color w:val="000000" w:themeColor="text1"/>
        </w:rPr>
        <w:t xml:space="preserve">. </w:t>
      </w:r>
    </w:p>
    <w:p w:rsidR="00F511B5" w:rsidRPr="00CC0EC5" w:rsidRDefault="00F511B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right="49"/>
        <w:jc w:val="both"/>
        <w:rPr>
          <w:rFonts w:ascii="Palatino Linotype" w:hAnsi="Palatino Linotype" w:cs="Arial"/>
        </w:rPr>
      </w:pPr>
    </w:p>
    <w:p w:rsidR="00A410B3" w:rsidRPr="004F719D" w:rsidRDefault="00A410B3" w:rsidP="00D97CBF">
      <w:pPr>
        <w:pStyle w:val="Ttulo1"/>
      </w:pPr>
      <w:bookmarkStart w:id="2" w:name="_Toc473810012"/>
      <w:bookmarkStart w:id="3" w:name="_Toc532283884"/>
      <w:bookmarkStart w:id="4" w:name="_Toc472594392"/>
      <w:bookmarkStart w:id="5" w:name="_Toc485911590"/>
      <w:r w:rsidRPr="004F719D">
        <w:t>De los requerimientos planteados en el recurso de revisión.</w:t>
      </w:r>
      <w:bookmarkEnd w:id="2"/>
      <w:bookmarkEnd w:id="3"/>
    </w:p>
    <w:p w:rsidR="00A410B3" w:rsidRPr="004F719D" w:rsidRDefault="00A410B3" w:rsidP="00EF2C52">
      <w:pPr>
        <w:pStyle w:val="Prrafodelista"/>
        <w:ind w:left="1080"/>
        <w:jc w:val="both"/>
        <w:rPr>
          <w:rFonts w:ascii="Palatino Linotype" w:hAnsi="Palatino Linotype" w:cs="Arial"/>
          <w:b/>
        </w:rPr>
      </w:pPr>
    </w:p>
    <w:p w:rsidR="00CC0EC5" w:rsidRPr="00924DF4"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El particular requirió de</w:t>
      </w:r>
      <w:r>
        <w:rPr>
          <w:rFonts w:ascii="Palatino Linotype" w:hAnsi="Palatino Linotype" w:cs="Arial"/>
        </w:rPr>
        <w:t xml:space="preserve">l </w:t>
      </w:r>
      <w:r w:rsidR="00D97CBF">
        <w:rPr>
          <w:rFonts w:ascii="Palatino Linotype" w:hAnsi="Palatino Linotype"/>
          <w:b/>
          <w:sz w:val="22"/>
          <w:szCs w:val="22"/>
        </w:rPr>
        <w:t xml:space="preserve">Ayuntamiento de </w:t>
      </w:r>
      <w:proofErr w:type="spellStart"/>
      <w:r w:rsidR="000C7056">
        <w:rPr>
          <w:rFonts w:ascii="Palatino Linotype" w:hAnsi="Palatino Linotype"/>
          <w:b/>
          <w:sz w:val="22"/>
          <w:szCs w:val="22"/>
        </w:rPr>
        <w:t>Temascalcingo</w:t>
      </w:r>
      <w:proofErr w:type="spellEnd"/>
      <w:r w:rsidR="00374684" w:rsidRPr="00374684">
        <w:rPr>
          <w:rFonts w:ascii="Palatino Linotype" w:hAnsi="Palatino Linotype"/>
          <w:b/>
          <w:sz w:val="22"/>
          <w:szCs w:val="22"/>
        </w:rPr>
        <w:t xml:space="preserve"> </w:t>
      </w:r>
      <w:r w:rsidRPr="00924DF4">
        <w:rPr>
          <w:rFonts w:ascii="Palatino Linotype" w:hAnsi="Palatino Linotype" w:cs="Arial"/>
        </w:rPr>
        <w:t xml:space="preserve">lo siguiente: </w:t>
      </w:r>
      <w:r w:rsidRPr="00924DF4">
        <w:rPr>
          <w:rFonts w:ascii="Palatino Linotype" w:hAnsi="Palatino Linotype" w:cs="Arial"/>
          <w:b/>
        </w:rPr>
        <w:t xml:space="preserve"> </w:t>
      </w:r>
    </w:p>
    <w:p w:rsidR="00D97CBF" w:rsidRPr="00D97CBF" w:rsidRDefault="00D97CBF" w:rsidP="00D97CBF">
      <w:pPr>
        <w:pStyle w:val="Prrafodelista"/>
        <w:tabs>
          <w:tab w:val="left" w:pos="4667"/>
        </w:tabs>
        <w:spacing w:line="360" w:lineRule="auto"/>
        <w:ind w:left="567" w:right="616"/>
        <w:jc w:val="both"/>
        <w:rPr>
          <w:rFonts w:ascii="Palatino Linotype" w:hAnsi="Palatino Linotype" w:cs="Tahoma"/>
          <w:bCs/>
          <w:i/>
        </w:rPr>
      </w:pPr>
    </w:p>
    <w:p w:rsidR="00D97CBF" w:rsidRPr="00022D14" w:rsidRDefault="00D97CBF" w:rsidP="00022D14">
      <w:pPr>
        <w:pStyle w:val="Prrafodelista"/>
        <w:tabs>
          <w:tab w:val="left" w:pos="4667"/>
        </w:tabs>
        <w:spacing w:line="360" w:lineRule="auto"/>
        <w:ind w:left="284" w:right="333"/>
        <w:jc w:val="both"/>
        <w:rPr>
          <w:rFonts w:ascii="Palatino Linotype" w:hAnsi="Palatino Linotype" w:cs="Tahoma"/>
          <w:bCs/>
          <w:i/>
          <w:sz w:val="22"/>
          <w:szCs w:val="22"/>
        </w:rPr>
      </w:pPr>
      <w:r w:rsidRPr="00022D14">
        <w:rPr>
          <w:rFonts w:ascii="Palatino Linotype" w:hAnsi="Palatino Linotype" w:cs="Tahoma"/>
          <w:bCs/>
          <w:i/>
          <w:sz w:val="22"/>
          <w:szCs w:val="22"/>
        </w:rPr>
        <w:t>“</w:t>
      </w:r>
      <w:r w:rsidR="000C7056" w:rsidRPr="000C7056">
        <w:rPr>
          <w:rFonts w:ascii="Palatino Linotype" w:hAnsi="Palatino Linotype" w:cs="Tahoma"/>
          <w:bCs/>
          <w:i/>
          <w:sz w:val="22"/>
          <w:szCs w:val="22"/>
        </w:rPr>
        <w:t xml:space="preserve">Solicito se me informe el total de servidores públicos existentes hasta esta fecha, en el municipio de </w:t>
      </w:r>
      <w:proofErr w:type="spellStart"/>
      <w:r w:rsidR="000C7056" w:rsidRPr="000C7056">
        <w:rPr>
          <w:rFonts w:ascii="Palatino Linotype" w:hAnsi="Palatino Linotype" w:cs="Tahoma"/>
          <w:bCs/>
          <w:i/>
          <w:sz w:val="22"/>
          <w:szCs w:val="22"/>
        </w:rPr>
        <w:t>Temascalcingo</w:t>
      </w:r>
      <w:proofErr w:type="spellEnd"/>
      <w:r w:rsidR="000C7056" w:rsidRPr="000C7056">
        <w:rPr>
          <w:rFonts w:ascii="Palatino Linotype" w:hAnsi="Palatino Linotype" w:cs="Tahoma"/>
          <w:bCs/>
          <w:i/>
          <w:sz w:val="22"/>
          <w:szCs w:val="22"/>
        </w:rPr>
        <w:t xml:space="preserve"> (incluidos organismos descentralizados y/o desconcentrado), su lugar de adscripción, trabajo y cargo que desempeñan, así como la remuneración o percepción total mensual y la remuneración mensual neta total. Solicito la nómina del ayuntamiento y sus organismos desconcentrados y descentralizados, dependencias del mes de agosto, septiembre del año en curso (2018). Solicito se me informe el total de demandas laborales existentes de las administraciones anteriores y las iniciadas en esta administración 2016-2018, el estado de cada una de ellas, los montos a los que asciende cada una y si se ha pagado o no. Solicito se me informe los adeudos existentes de las administraciones anteriores y de la actual 2016-2018, hasta la fecha con la CFE, SAT, ISSEMYM, CONAGUA, y en su caso las causas de dichos adeudos. Solicito se me informe el nombre, lugar de adscripción, trabajo y cargo que desempeñan, así como la remuneración o percepción total mensual y la remuneración mensual </w:t>
      </w:r>
      <w:r w:rsidR="000C7056" w:rsidRPr="000C7056">
        <w:rPr>
          <w:rFonts w:ascii="Palatino Linotype" w:hAnsi="Palatino Linotype" w:cs="Tahoma"/>
          <w:bCs/>
          <w:i/>
          <w:sz w:val="22"/>
          <w:szCs w:val="22"/>
        </w:rPr>
        <w:lastRenderedPageBreak/>
        <w:t xml:space="preserve">neta total del personal sindicalizado en el ayuntamiento de </w:t>
      </w:r>
      <w:proofErr w:type="spellStart"/>
      <w:r w:rsidR="000C7056" w:rsidRPr="000C7056">
        <w:rPr>
          <w:rFonts w:ascii="Palatino Linotype" w:hAnsi="Palatino Linotype" w:cs="Tahoma"/>
          <w:bCs/>
          <w:i/>
          <w:sz w:val="22"/>
          <w:szCs w:val="22"/>
        </w:rPr>
        <w:t>temascalcingo</w:t>
      </w:r>
      <w:proofErr w:type="spellEnd"/>
      <w:r w:rsidR="000C7056" w:rsidRPr="000C7056">
        <w:rPr>
          <w:rFonts w:ascii="Palatino Linotype" w:hAnsi="Palatino Linotype" w:cs="Tahoma"/>
          <w:bCs/>
          <w:i/>
          <w:sz w:val="22"/>
          <w:szCs w:val="22"/>
        </w:rPr>
        <w:t xml:space="preserve"> (incluidos organismos descentralizados y/o desconcentrado), hasta el día de hoy (fecha de presentación de la solicitud), y la fecha en que fue sindicalizado cada uno</w:t>
      </w:r>
      <w:r w:rsidRPr="00022D14">
        <w:rPr>
          <w:rFonts w:ascii="Palatino Linotype" w:hAnsi="Palatino Linotype" w:cs="Tahoma"/>
          <w:bCs/>
          <w:i/>
          <w:sz w:val="22"/>
          <w:szCs w:val="22"/>
        </w:rPr>
        <w:t>”</w:t>
      </w:r>
      <w:r w:rsidRPr="00022D14">
        <w:rPr>
          <w:rFonts w:ascii="Palatino Linotype" w:hAnsi="Palatino Linotype" w:cs="Tahoma"/>
          <w:b/>
          <w:bCs/>
          <w:i/>
          <w:sz w:val="22"/>
          <w:szCs w:val="22"/>
        </w:rPr>
        <w:t xml:space="preserve"> </w:t>
      </w:r>
      <w:r w:rsidRPr="00022D14">
        <w:rPr>
          <w:rFonts w:ascii="Palatino Linotype" w:hAnsi="Palatino Linotype" w:cs="Tahoma"/>
          <w:bCs/>
          <w:i/>
          <w:sz w:val="22"/>
          <w:szCs w:val="22"/>
        </w:rPr>
        <w:t>(Sic.)</w:t>
      </w:r>
    </w:p>
    <w:p w:rsidR="00A410B3" w:rsidRPr="004F719D" w:rsidRDefault="00A410B3" w:rsidP="00D97CBF">
      <w:pPr>
        <w:ind w:left="708" w:right="616" w:hanging="708"/>
        <w:jc w:val="both"/>
        <w:rPr>
          <w:rFonts w:ascii="Palatino Linotype" w:hAnsi="Palatino Linotype" w:cs="Arial"/>
          <w:i/>
          <w:color w:val="000000" w:themeColor="text1"/>
        </w:rPr>
      </w:pPr>
    </w:p>
    <w:p w:rsidR="00CC0EC5" w:rsidRPr="000C7056" w:rsidRDefault="00CC0EC5" w:rsidP="00595EB1">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616" w:firstLine="0"/>
        <w:jc w:val="both"/>
        <w:rPr>
          <w:rFonts w:ascii="Palatino Linotype" w:eastAsia="Times New Roman" w:hAnsi="Palatino Linotype"/>
          <w:i/>
          <w:lang w:val="es-ES_tradnl" w:eastAsia="es-ES"/>
        </w:rPr>
      </w:pPr>
      <w:r w:rsidRPr="000C7056">
        <w:rPr>
          <w:rFonts w:ascii="Palatino Linotype" w:hAnsi="Palatino Linotype" w:cs="Arial"/>
        </w:rPr>
        <w:t xml:space="preserve">El </w:t>
      </w:r>
      <w:r w:rsidR="000C7056">
        <w:rPr>
          <w:rFonts w:ascii="Palatino Linotype" w:hAnsi="Palatino Linotype" w:cs="Arial"/>
        </w:rPr>
        <w:t>Sujeto Obligado</w:t>
      </w:r>
      <w:r w:rsidR="00EF2C52" w:rsidRPr="000C7056">
        <w:rPr>
          <w:rFonts w:ascii="Palatino Linotype" w:hAnsi="Palatino Linotype" w:cs="Arial"/>
        </w:rPr>
        <w:t xml:space="preserve"> </w:t>
      </w:r>
      <w:r w:rsidR="000C7056" w:rsidRPr="000C7056">
        <w:rPr>
          <w:rFonts w:ascii="Palatino Linotype" w:hAnsi="Palatino Linotype" w:cs="Arial"/>
        </w:rPr>
        <w:t xml:space="preserve">respondió parciamente a los planteamientos formulados en la solicitud de información. </w:t>
      </w:r>
    </w:p>
    <w:p w:rsidR="000C7056" w:rsidRPr="000C7056" w:rsidRDefault="000C7056" w:rsidP="000C7056">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616"/>
        <w:jc w:val="both"/>
        <w:rPr>
          <w:rFonts w:ascii="Palatino Linotype" w:eastAsia="Times New Roman" w:hAnsi="Palatino Linotype"/>
          <w:i/>
          <w:lang w:val="es-ES_tradnl" w:eastAsia="es-ES"/>
        </w:rPr>
      </w:pPr>
    </w:p>
    <w:p w:rsidR="00D97CBF" w:rsidRDefault="000C7056" w:rsidP="00022D14">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Por tanto</w:t>
      </w:r>
      <w:r w:rsidR="00CC0EC5" w:rsidRPr="00924DF4">
        <w:rPr>
          <w:rFonts w:ascii="Palatino Linotype" w:hAnsi="Palatino Linotype" w:cs="Arial"/>
        </w:rPr>
        <w:t>,</w:t>
      </w:r>
      <w:r w:rsidR="00CC0EC5" w:rsidRPr="00924DF4">
        <w:rPr>
          <w:rFonts w:ascii="Palatino Linotype" w:hAnsi="Palatino Linotype" w:cs="Arial"/>
          <w:b/>
        </w:rPr>
        <w:t xml:space="preserve"> </w:t>
      </w:r>
      <w:r w:rsidR="00CC0EC5" w:rsidRPr="00924DF4">
        <w:rPr>
          <w:rFonts w:ascii="Palatino Linotype" w:hAnsi="Palatino Linotype" w:cs="Arial"/>
        </w:rPr>
        <w:t>el particular en sus motivos de inconformidad, se duele arg</w:t>
      </w:r>
      <w:r w:rsidR="00A7538B">
        <w:rPr>
          <w:rFonts w:ascii="Palatino Linotype" w:hAnsi="Palatino Linotype" w:cs="Arial"/>
        </w:rPr>
        <w:t xml:space="preserve">uyendo que el </w:t>
      </w:r>
      <w:r>
        <w:rPr>
          <w:rFonts w:ascii="Palatino Linotype" w:hAnsi="Palatino Linotype" w:cs="Arial"/>
        </w:rPr>
        <w:t>Sujeto Obligado</w:t>
      </w:r>
      <w:r w:rsidR="00A7538B">
        <w:rPr>
          <w:rFonts w:ascii="Palatino Linotype" w:hAnsi="Palatino Linotype" w:cs="Arial"/>
        </w:rPr>
        <w:t xml:space="preserve"> </w:t>
      </w:r>
      <w:r>
        <w:rPr>
          <w:rFonts w:ascii="Palatino Linotype" w:hAnsi="Palatino Linotype" w:cs="Arial"/>
        </w:rPr>
        <w:t>entregó la información incompleta.</w:t>
      </w:r>
      <w:r w:rsidR="00D97CBF">
        <w:rPr>
          <w:rFonts w:ascii="Palatino Linotype" w:hAnsi="Palatino Linotype" w:cs="Arial"/>
        </w:rPr>
        <w:t xml:space="preserve"> </w:t>
      </w:r>
    </w:p>
    <w:p w:rsidR="00022D14" w:rsidRPr="00022D14" w:rsidRDefault="00022D14" w:rsidP="00022D1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D97CBF" w:rsidRDefault="00D97CBF" w:rsidP="00D97CBF">
      <w:pPr>
        <w:pStyle w:val="Ttulo1"/>
      </w:pPr>
      <w:bookmarkStart w:id="6" w:name="_Toc532283885"/>
      <w:r>
        <w:t>D</w:t>
      </w:r>
      <w:r w:rsidR="00C819C8">
        <w:t>el estudio de la ponencia.</w:t>
      </w:r>
      <w:bookmarkEnd w:id="6"/>
      <w:r w:rsidR="00C819C8">
        <w:t xml:space="preserve"> </w:t>
      </w:r>
    </w:p>
    <w:p w:rsidR="00CC0EC5" w:rsidRPr="00CC0EC5" w:rsidRDefault="00CC0EC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rPr>
      </w:pPr>
    </w:p>
    <w:bookmarkEnd w:id="4"/>
    <w:bookmarkEnd w:id="5"/>
    <w:p w:rsidR="00D97CBF" w:rsidRDefault="00D97CBF" w:rsidP="009A2DF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C819C8">
        <w:rPr>
          <w:rFonts w:ascii="Palatino Linotype" w:hAnsi="Palatino Linotype" w:cs="Arial"/>
        </w:rPr>
        <w:t>Es necesario señalar, que de lo pe</w:t>
      </w:r>
      <w:r w:rsidR="00C819C8" w:rsidRPr="00C819C8">
        <w:rPr>
          <w:rFonts w:ascii="Palatino Linotype" w:hAnsi="Palatino Linotype" w:cs="Arial"/>
        </w:rPr>
        <w:t xml:space="preserve">ticionado por el particular, la ponencia determinó que derivado de las atribuciones, facultades y competencias el </w:t>
      </w:r>
      <w:r w:rsidR="000C7056">
        <w:rPr>
          <w:rFonts w:ascii="Palatino Linotype" w:hAnsi="Palatino Linotype" w:cs="Arial"/>
        </w:rPr>
        <w:t>Sujeto Obligado</w:t>
      </w:r>
      <w:r w:rsidR="00C819C8" w:rsidRPr="00C819C8">
        <w:rPr>
          <w:rFonts w:ascii="Palatino Linotype" w:hAnsi="Palatino Linotype" w:cs="Arial"/>
          <w:b/>
        </w:rPr>
        <w:t xml:space="preserve">, </w:t>
      </w:r>
      <w:r w:rsidR="00C819C8" w:rsidRPr="00C819C8">
        <w:rPr>
          <w:rFonts w:ascii="Palatino Linotype" w:hAnsi="Palatino Linotype" w:cs="Arial"/>
        </w:rPr>
        <w:t>era sable ordenarle que proporcionara la información que satisficiera la pretensi</w:t>
      </w:r>
      <w:r w:rsidR="00C819C8">
        <w:rPr>
          <w:rFonts w:ascii="Palatino Linotype" w:hAnsi="Palatino Linotype" w:cs="Arial"/>
        </w:rPr>
        <w:t xml:space="preserve">ón del particular, por lo que ordeno una búsqueda exhaustiva y razonable en las áreas competentes de la </w:t>
      </w:r>
      <w:r w:rsidR="000C7056">
        <w:rPr>
          <w:rFonts w:ascii="Palatino Linotype" w:hAnsi="Palatino Linotype" w:cs="Arial"/>
        </w:rPr>
        <w:t>documentación señalada por el particular</w:t>
      </w:r>
    </w:p>
    <w:p w:rsidR="00C819C8" w:rsidRDefault="00C819C8" w:rsidP="00C819C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819C8" w:rsidRDefault="000C7056" w:rsidP="009A2DF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No obstante</w:t>
      </w:r>
      <w:r w:rsidR="00C819C8">
        <w:rPr>
          <w:rFonts w:ascii="Palatino Linotype" w:hAnsi="Palatino Linotype" w:cs="Arial"/>
        </w:rPr>
        <w:t xml:space="preserve">, </w:t>
      </w:r>
      <w:r>
        <w:rPr>
          <w:rFonts w:ascii="Palatino Linotype" w:hAnsi="Palatino Linotype" w:cs="Arial"/>
        </w:rPr>
        <w:t>en relación a la</w:t>
      </w:r>
      <w:r w:rsidR="00C819C8">
        <w:rPr>
          <w:rFonts w:ascii="Palatino Linotype" w:hAnsi="Palatino Linotype" w:cs="Arial"/>
        </w:rPr>
        <w:t xml:space="preserve"> </w:t>
      </w:r>
      <w:r w:rsidR="00C819C8" w:rsidRPr="001130D3">
        <w:rPr>
          <w:rFonts w:ascii="Palatino Linotype" w:hAnsi="Palatino Linotype" w:cs="Arial"/>
          <w:b/>
        </w:rPr>
        <w:t>“Información sobre el personal de seguridad pública”</w:t>
      </w:r>
      <w:r w:rsidR="00C819C8">
        <w:rPr>
          <w:rFonts w:ascii="Palatino Linotype" w:hAnsi="Palatino Linotype" w:cs="Arial"/>
        </w:rPr>
        <w:t xml:space="preserve">, </w:t>
      </w:r>
      <w:r>
        <w:rPr>
          <w:rFonts w:ascii="Palatino Linotype" w:hAnsi="Palatino Linotype" w:cs="Arial"/>
        </w:rPr>
        <w:t xml:space="preserve">la Ponencia </w:t>
      </w:r>
      <w:proofErr w:type="spellStart"/>
      <w:r>
        <w:rPr>
          <w:rFonts w:ascii="Palatino Linotype" w:hAnsi="Palatino Linotype" w:cs="Arial"/>
        </w:rPr>
        <w:t>resolutora</w:t>
      </w:r>
      <w:proofErr w:type="spellEnd"/>
      <w:r>
        <w:rPr>
          <w:rFonts w:ascii="Palatino Linotype" w:hAnsi="Palatino Linotype" w:cs="Arial"/>
        </w:rPr>
        <w:t xml:space="preserve"> argumentó que el total de los servidores públicos incluye a los policías, por lo que si bien es necesario ordenar la</w:t>
      </w:r>
      <w:r w:rsidR="00C819C8">
        <w:rPr>
          <w:rFonts w:ascii="Palatino Linotype" w:hAnsi="Palatino Linotype" w:cs="Arial"/>
        </w:rPr>
        <w:t xml:space="preserve"> entrega en razón a que es una obligación de transparencia, también </w:t>
      </w:r>
      <w:r>
        <w:rPr>
          <w:rFonts w:ascii="Palatino Linotype" w:hAnsi="Palatino Linotype" w:cs="Arial"/>
        </w:rPr>
        <w:t>lo es que</w:t>
      </w:r>
      <w:r w:rsidR="00C819C8">
        <w:rPr>
          <w:rFonts w:ascii="Palatino Linotype" w:hAnsi="Palatino Linotype" w:cs="Arial"/>
        </w:rPr>
        <w:t xml:space="preserve"> determinó que los policías al constituir elementos operativos del ayuntamiento y en razón a que llevan a cabo </w:t>
      </w:r>
      <w:r w:rsidR="00C819C8">
        <w:rPr>
          <w:rFonts w:ascii="Palatino Linotype" w:hAnsi="Palatino Linotype" w:cs="Arial"/>
        </w:rPr>
        <w:lastRenderedPageBreak/>
        <w:t xml:space="preserve">acciones de </w:t>
      </w:r>
      <w:r w:rsidR="001130D3">
        <w:rPr>
          <w:rFonts w:ascii="Palatino Linotype" w:hAnsi="Palatino Linotype" w:cs="Arial"/>
        </w:rPr>
        <w:t>prevención</w:t>
      </w:r>
      <w:r w:rsidR="00C819C8">
        <w:rPr>
          <w:rFonts w:ascii="Palatino Linotype" w:hAnsi="Palatino Linotype" w:cs="Arial"/>
        </w:rPr>
        <w:t xml:space="preserve"> del del</w:t>
      </w:r>
      <w:r w:rsidR="001130D3">
        <w:rPr>
          <w:rFonts w:ascii="Palatino Linotype" w:hAnsi="Palatino Linotype" w:cs="Arial"/>
        </w:rPr>
        <w:t>i</w:t>
      </w:r>
      <w:r w:rsidR="00BE0306">
        <w:rPr>
          <w:rFonts w:ascii="Palatino Linotype" w:hAnsi="Palatino Linotype" w:cs="Arial"/>
        </w:rPr>
        <w:t xml:space="preserve">to y combate a la delincuencia y derivado </w:t>
      </w:r>
      <w:r w:rsidR="00C819C8">
        <w:rPr>
          <w:rFonts w:ascii="Palatino Linotype" w:hAnsi="Palatino Linotype" w:cs="Arial"/>
        </w:rPr>
        <w:t xml:space="preserve">de los altos índices de criminalidad que aquejan a la Nación y  a la Entidad, </w:t>
      </w:r>
      <w:r w:rsidR="00C819C8" w:rsidRPr="00BE0306">
        <w:rPr>
          <w:rFonts w:ascii="Palatino Linotype" w:hAnsi="Palatino Linotype" w:cs="Arial"/>
          <w:b/>
        </w:rPr>
        <w:t xml:space="preserve">se </w:t>
      </w:r>
      <w:r w:rsidR="001130D3" w:rsidRPr="00BE0306">
        <w:rPr>
          <w:rFonts w:ascii="Palatino Linotype" w:hAnsi="Palatino Linotype" w:cs="Arial"/>
          <w:b/>
        </w:rPr>
        <w:t>debería</w:t>
      </w:r>
      <w:r w:rsidR="00C819C8" w:rsidRPr="00BE0306">
        <w:rPr>
          <w:rFonts w:ascii="Palatino Linotype" w:hAnsi="Palatino Linotype" w:cs="Arial"/>
          <w:b/>
        </w:rPr>
        <w:t xml:space="preserve"> considerar como reservada</w:t>
      </w:r>
      <w:r w:rsidR="00C819C8">
        <w:rPr>
          <w:rFonts w:ascii="Palatino Linotype" w:hAnsi="Palatino Linotype" w:cs="Arial"/>
        </w:rPr>
        <w:t xml:space="preserve"> la información relativa a los servidores públicos, integrantes de las instituciones de seguridad pública, puesto que de lo contrario, se podría poner en riesgo su vida e </w:t>
      </w:r>
      <w:r w:rsidR="001130D3">
        <w:rPr>
          <w:rFonts w:ascii="Palatino Linotype" w:hAnsi="Palatino Linotype" w:cs="Arial"/>
        </w:rPr>
        <w:t>integridad</w:t>
      </w:r>
      <w:r w:rsidR="00C819C8">
        <w:rPr>
          <w:rFonts w:ascii="Palatino Linotype" w:hAnsi="Palatino Linotype" w:cs="Arial"/>
        </w:rPr>
        <w:t xml:space="preserve">. </w:t>
      </w:r>
    </w:p>
    <w:p w:rsidR="00C819C8" w:rsidRPr="00C819C8" w:rsidRDefault="00C819C8" w:rsidP="00C819C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16A3B" w:rsidRDefault="00BE0306"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Asimismo</w:t>
      </w:r>
      <w:r w:rsidR="00442007">
        <w:rPr>
          <w:rFonts w:ascii="Palatino Linotype" w:hAnsi="Palatino Linotype" w:cs="Arial"/>
        </w:rPr>
        <w:t>,</w:t>
      </w:r>
      <w:r>
        <w:rPr>
          <w:rFonts w:ascii="Palatino Linotype" w:hAnsi="Palatino Linotype" w:cs="Arial"/>
        </w:rPr>
        <w:t xml:space="preserve"> en su estudio abordaron la información reflejada en la Encuesta Nacional sobre Percepción de Inseguridad Ciudadana en México 2017, </w:t>
      </w:r>
      <w:r w:rsidR="00C16A3B">
        <w:rPr>
          <w:rFonts w:ascii="Palatino Linotype" w:hAnsi="Palatino Linotype" w:cs="Arial"/>
        </w:rPr>
        <w:t>señalando que el Estado de México lideraba tal ranking, aludiendo que los niveles de delitos como era el homicidio se había exacerbado, por lo que resulta</w:t>
      </w:r>
      <w:r w:rsidR="00442007">
        <w:rPr>
          <w:rFonts w:ascii="Palatino Linotype" w:hAnsi="Palatino Linotype" w:cs="Arial"/>
        </w:rPr>
        <w:t>ba</w:t>
      </w:r>
      <w:r w:rsidR="00C16A3B">
        <w:rPr>
          <w:rFonts w:ascii="Palatino Linotype" w:hAnsi="Palatino Linotype" w:cs="Arial"/>
        </w:rPr>
        <w:t xml:space="preserve"> un escenario riesgoso para quienes ejercen la funci</w:t>
      </w:r>
      <w:r w:rsidR="00442007">
        <w:rPr>
          <w:rFonts w:ascii="Palatino Linotype" w:hAnsi="Palatino Linotype" w:cs="Arial"/>
        </w:rPr>
        <w:t>ón policial.</w:t>
      </w:r>
    </w:p>
    <w:p w:rsidR="00442007" w:rsidRPr="00442007" w:rsidRDefault="00442007" w:rsidP="00442007">
      <w:pPr>
        <w:pStyle w:val="Prrafodelista"/>
        <w:rPr>
          <w:rFonts w:ascii="Palatino Linotype" w:hAnsi="Palatino Linotype" w:cs="Arial"/>
        </w:rPr>
      </w:pPr>
    </w:p>
    <w:p w:rsidR="00442007" w:rsidRDefault="00442007"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Es por ello que, pese a qu</w:t>
      </w:r>
      <w:r w:rsidR="001D2190">
        <w:rPr>
          <w:rFonts w:ascii="Palatino Linotype" w:hAnsi="Palatino Linotype" w:cs="Arial"/>
        </w:rPr>
        <w:t xml:space="preserve">e la información solicitada es </w:t>
      </w:r>
      <w:r>
        <w:rPr>
          <w:rFonts w:ascii="Palatino Linotype" w:hAnsi="Palatino Linotype" w:cs="Arial"/>
        </w:rPr>
        <w:t>de naturaleza pública, debido al contexto que</w:t>
      </w:r>
      <w:r w:rsidR="001D2190">
        <w:rPr>
          <w:rFonts w:ascii="Palatino Linotype" w:hAnsi="Palatino Linotype" w:cs="Arial"/>
        </w:rPr>
        <w:t xml:space="preserve"> actualmente vive la Entidad, es</w:t>
      </w:r>
      <w:r>
        <w:rPr>
          <w:rFonts w:ascii="Palatino Linotype" w:hAnsi="Palatino Linotype" w:cs="Arial"/>
        </w:rPr>
        <w:t xml:space="preserve"> susceptible de clasificarse como reservada, por el plazo máximo establecido. En ese sentido, la ponencia </w:t>
      </w:r>
      <w:proofErr w:type="spellStart"/>
      <w:r>
        <w:rPr>
          <w:rFonts w:ascii="Palatino Linotype" w:hAnsi="Palatino Linotype" w:cs="Arial"/>
        </w:rPr>
        <w:t>resolutora</w:t>
      </w:r>
      <w:proofErr w:type="spellEnd"/>
      <w:r>
        <w:rPr>
          <w:rFonts w:ascii="Palatino Linotype" w:hAnsi="Palatino Linotype" w:cs="Arial"/>
        </w:rPr>
        <w:t xml:space="preserve">, determinó que era dable proporcionar la nómina del personal de seguridad pública, en versión pública, testando el nombre de los policías con funciones operativas y proporcionando todo lo relativo a los cargos y precepciones. </w:t>
      </w:r>
    </w:p>
    <w:p w:rsidR="00442007" w:rsidRPr="00442007" w:rsidRDefault="00442007" w:rsidP="00442007">
      <w:pPr>
        <w:pStyle w:val="Prrafodelista"/>
        <w:rPr>
          <w:rFonts w:ascii="Palatino Linotype" w:hAnsi="Palatino Linotype" w:cs="Arial"/>
        </w:rPr>
      </w:pPr>
    </w:p>
    <w:p w:rsidR="00442007" w:rsidRDefault="00442007"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Situación que esta ponencia no comparte al tenor de lo siguiente: </w:t>
      </w:r>
    </w:p>
    <w:p w:rsidR="001D2190" w:rsidRPr="001D2190" w:rsidRDefault="001D2190" w:rsidP="001D2190">
      <w:pPr>
        <w:pStyle w:val="Prrafodelista"/>
        <w:rPr>
          <w:rFonts w:ascii="Palatino Linotype" w:hAnsi="Palatino Linotype" w:cs="Arial"/>
        </w:rPr>
      </w:pPr>
    </w:p>
    <w:p w:rsidR="001D2190" w:rsidRDefault="001D2190" w:rsidP="001D219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442007" w:rsidRPr="00442007" w:rsidRDefault="00442007" w:rsidP="00442007">
      <w:pPr>
        <w:pStyle w:val="Prrafodelista"/>
        <w:rPr>
          <w:rFonts w:ascii="Palatino Linotype" w:hAnsi="Palatino Linotype" w:cs="Arial"/>
        </w:rPr>
      </w:pPr>
    </w:p>
    <w:p w:rsidR="00442007" w:rsidRPr="00C16A3B" w:rsidRDefault="00442007" w:rsidP="00442007">
      <w:pPr>
        <w:pStyle w:val="Ttulo1"/>
      </w:pPr>
      <w:bookmarkStart w:id="7" w:name="_Toc532283886"/>
      <w:r>
        <w:lastRenderedPageBreak/>
        <w:t>Del personal de seguridad pública.</w:t>
      </w:r>
      <w:bookmarkEnd w:id="7"/>
      <w:r>
        <w:t xml:space="preserve"> </w:t>
      </w:r>
    </w:p>
    <w:p w:rsidR="00BE0306" w:rsidRPr="00BE0306" w:rsidRDefault="00BE0306" w:rsidP="00BE0306">
      <w:pPr>
        <w:pStyle w:val="Prrafodelista"/>
        <w:rPr>
          <w:rFonts w:ascii="Palatino Linotype" w:hAnsi="Palatino Linotype" w:cs="Arial"/>
        </w:rPr>
      </w:pPr>
    </w:p>
    <w:p w:rsidR="00442007" w:rsidRDefault="00442007" w:rsidP="00D97CB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En principio es importante mencionar que el proporcionar los nombres de los policías de seguridad y al ser estos servidores públicos, la información peticionada es meramente de naturaleza pública y por ende está considerada como informaci</w:t>
      </w:r>
      <w:r w:rsidR="00EE0D26">
        <w:rPr>
          <w:rFonts w:ascii="Palatino Linotype" w:hAnsi="Palatino Linotype" w:cs="Arial"/>
        </w:rPr>
        <w:t xml:space="preserve">ón susceptible de ser ordenada, </w:t>
      </w:r>
      <w:r>
        <w:rPr>
          <w:rFonts w:ascii="Palatino Linotype" w:hAnsi="Palatino Linotype" w:cs="Arial"/>
        </w:rPr>
        <w:t>ya que constituye una obligación de transparencia, tal y como lo establece la ley en la materia.</w:t>
      </w:r>
      <w:r w:rsidR="007B08CC">
        <w:rPr>
          <w:rFonts w:ascii="Palatino Linotype" w:hAnsi="Palatino Linotype" w:cs="Arial"/>
        </w:rPr>
        <w:t xml:space="preserve"> </w:t>
      </w:r>
    </w:p>
    <w:p w:rsidR="00442007" w:rsidRDefault="00442007" w:rsidP="0044200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EE0D26" w:rsidRDefault="00442007" w:rsidP="00EE0D26">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Ahora bien, la clasificación de información, es entendida</w:t>
      </w:r>
      <w:r w:rsidR="00EE0D26">
        <w:rPr>
          <w:rFonts w:ascii="Palatino Linotype" w:hAnsi="Palatino Linotype" w:cs="Arial"/>
        </w:rPr>
        <w:t xml:space="preserve"> y definida </w:t>
      </w:r>
      <w:r>
        <w:rPr>
          <w:rFonts w:ascii="Palatino Linotype" w:hAnsi="Palatino Linotype" w:cs="Arial"/>
        </w:rPr>
        <w:t>como el acto excepcional de restricci</w:t>
      </w:r>
      <w:r w:rsidR="00EE0D26">
        <w:rPr>
          <w:rFonts w:ascii="Palatino Linotype" w:hAnsi="Palatino Linotype" w:cs="Arial"/>
        </w:rPr>
        <w:t>ón de</w:t>
      </w:r>
      <w:r>
        <w:rPr>
          <w:rFonts w:ascii="Palatino Linotype" w:hAnsi="Palatino Linotype" w:cs="Arial"/>
        </w:rPr>
        <w:t xml:space="preserve"> derechos</w:t>
      </w:r>
      <w:r w:rsidR="00F26370">
        <w:rPr>
          <w:rFonts w:ascii="Palatino Linotype" w:hAnsi="Palatino Linotype" w:cs="Arial"/>
        </w:rPr>
        <w:t xml:space="preserve">, por lo que no basta que la hipótesis prevista en la ley para la configuración de la misma, sea igual a la prueba de daño, si no que esta tiene que ser desarrollada y en el caso particular, valorar realmente el daño que se ocasionaría por la entrega de los nombres de estos servidores públicos. </w:t>
      </w:r>
    </w:p>
    <w:p w:rsidR="00F26370" w:rsidRPr="00F26370" w:rsidRDefault="00F26370" w:rsidP="00F26370">
      <w:pPr>
        <w:pStyle w:val="Prrafodelista"/>
        <w:rPr>
          <w:rFonts w:ascii="Palatino Linotype" w:hAnsi="Palatino Linotype" w:cs="Arial"/>
        </w:rPr>
      </w:pPr>
    </w:p>
    <w:p w:rsidR="00F26370" w:rsidRDefault="00F26370" w:rsidP="00F2637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Ahora bien, respecto a la</w:t>
      </w:r>
      <w:r w:rsidR="00341275">
        <w:rPr>
          <w:rFonts w:ascii="Palatino Linotype" w:hAnsi="Palatino Linotype" w:cs="Arial"/>
        </w:rPr>
        <w:t xml:space="preserve"> incidencia delictiva que hizo a</w:t>
      </w:r>
      <w:r>
        <w:rPr>
          <w:rFonts w:ascii="Palatino Linotype" w:hAnsi="Palatino Linotype" w:cs="Arial"/>
        </w:rPr>
        <w:t xml:space="preserve"> bien señalar la ponencia </w:t>
      </w:r>
      <w:proofErr w:type="spellStart"/>
      <w:r>
        <w:rPr>
          <w:rFonts w:ascii="Palatino Linotype" w:hAnsi="Palatino Linotype" w:cs="Arial"/>
        </w:rPr>
        <w:t>resolutora</w:t>
      </w:r>
      <w:proofErr w:type="spellEnd"/>
      <w:r>
        <w:rPr>
          <w:rFonts w:ascii="Palatino Linotype" w:hAnsi="Palatino Linotype" w:cs="Arial"/>
        </w:rPr>
        <w:t>, cabe destacar que si bien es cierto, la tasa de homicidios ha ido en aumento con el paso del tiempo</w:t>
      </w:r>
      <w:r w:rsidR="008D1C7B">
        <w:rPr>
          <w:rFonts w:ascii="Palatino Linotype" w:hAnsi="Palatino Linotype" w:cs="Arial"/>
        </w:rPr>
        <w:t>,</w:t>
      </w:r>
      <w:r>
        <w:rPr>
          <w:rFonts w:ascii="Palatino Linotype" w:hAnsi="Palatino Linotype" w:cs="Arial"/>
        </w:rPr>
        <w:t xml:space="preserve"> es </w:t>
      </w:r>
      <w:r w:rsidR="008D1C7B">
        <w:rPr>
          <w:rFonts w:ascii="Palatino Linotype" w:hAnsi="Palatino Linotype" w:cs="Arial"/>
        </w:rPr>
        <w:t xml:space="preserve">necesario </w:t>
      </w:r>
      <w:r>
        <w:rPr>
          <w:rFonts w:ascii="Palatino Linotype" w:hAnsi="Palatino Linotype" w:cs="Arial"/>
        </w:rPr>
        <w:t xml:space="preserve">estudiar el caso particular del municipio que nos ocupa, siendo que se deben plasmar la incidencia real del mismo, más no en regla general, más bien de manera excepcional y así aplicar la prueba de daño. </w:t>
      </w:r>
      <w:r w:rsidRPr="00F26370">
        <w:rPr>
          <w:rFonts w:ascii="Palatino Linotype" w:hAnsi="Palatino Linotype" w:cs="Arial"/>
        </w:rPr>
        <w:t xml:space="preserve"> </w:t>
      </w:r>
    </w:p>
    <w:p w:rsidR="001D2190" w:rsidRPr="001D2190" w:rsidRDefault="001D2190" w:rsidP="001D2190">
      <w:pPr>
        <w:pStyle w:val="Prrafodelista"/>
        <w:rPr>
          <w:rFonts w:ascii="Palatino Linotype" w:hAnsi="Palatino Linotype" w:cs="Arial"/>
        </w:rPr>
      </w:pPr>
    </w:p>
    <w:p w:rsidR="001D2190" w:rsidRPr="00F26370" w:rsidRDefault="001D2190" w:rsidP="001D219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BE0306" w:rsidRPr="00F26370" w:rsidRDefault="00BE0306" w:rsidP="00F2637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F36639" w:rsidRDefault="009A16E4" w:rsidP="009A16E4">
      <w:pPr>
        <w:pStyle w:val="Ttulo1"/>
      </w:pPr>
      <w:bookmarkStart w:id="8" w:name="_Toc532283887"/>
      <w:r>
        <w:lastRenderedPageBreak/>
        <w:t>De la disociación.</w:t>
      </w:r>
      <w:bookmarkEnd w:id="8"/>
      <w:r>
        <w:t xml:space="preserve"> </w:t>
      </w:r>
    </w:p>
    <w:p w:rsidR="009A16E4" w:rsidRPr="009A16E4" w:rsidRDefault="009A16E4" w:rsidP="009A16E4"/>
    <w:p w:rsidR="009A16E4" w:rsidRPr="009A16E4" w:rsidRDefault="009A16E4" w:rsidP="009A16E4">
      <w:pPr>
        <w:pStyle w:val="Prrafodelista"/>
        <w:numPr>
          <w:ilvl w:val="0"/>
          <w:numId w:val="1"/>
        </w:numPr>
        <w:spacing w:line="360" w:lineRule="auto"/>
        <w:ind w:left="0" w:firstLine="0"/>
        <w:jc w:val="both"/>
        <w:rPr>
          <w:rFonts w:ascii="Palatino Linotype" w:hAnsi="Palatino Linotype"/>
        </w:rPr>
      </w:pPr>
      <w:r w:rsidRPr="009A16E4">
        <w:rPr>
          <w:rFonts w:ascii="Palatino Linotype" w:hAnsi="Palatino Linotype"/>
        </w:rPr>
        <w:t xml:space="preserve">Por otro lado, si derivado de la nómina que se ordena entregar pudiera existir información de la </w:t>
      </w:r>
      <w:r w:rsidRPr="009A16E4">
        <w:rPr>
          <w:rFonts w:ascii="Palatino Linotype" w:hAnsi="Palatino Linotype"/>
          <w:b/>
          <w:u w:val="single"/>
        </w:rPr>
        <w:t>Dirección de Seguridad Pública del Ayuntamiento o su equivalente</w:t>
      </w:r>
      <w:r w:rsidRPr="009A16E4">
        <w:rPr>
          <w:rFonts w:ascii="Palatino Linotype" w:hAnsi="Palatino Linotype"/>
        </w:rPr>
        <w:t>, la cual ponga en riesgo los integrantes derivado de las funciones encomendadas en términos del artículo 21 párrafo noveno de la Constitución Política de los Estados Unidos Mexicanos, de las cuales</w:t>
      </w:r>
      <w:r w:rsidR="00255EAA">
        <w:rPr>
          <w:rFonts w:ascii="Palatino Linotype" w:hAnsi="Palatino Linotype"/>
        </w:rPr>
        <w:t>zl</w:t>
      </w:r>
      <w:bookmarkStart w:id="9" w:name="_GoBack"/>
      <w:bookmarkEnd w:id="9"/>
      <w:r w:rsidRPr="009A16E4">
        <w:rPr>
          <w:rFonts w:ascii="Palatino Linotype" w:hAnsi="Palatino Linotype"/>
        </w:rPr>
        <w:t xml:space="preserve">se desprenden entre otras  la prevención de los delitos, investigación y persecución para hacerla efectiva, el </w:t>
      </w:r>
      <w:r w:rsidR="001D2190">
        <w:rPr>
          <w:rFonts w:ascii="Palatino Linotype" w:hAnsi="Palatino Linotype"/>
        </w:rPr>
        <w:t>Sujeto Obligado</w:t>
      </w:r>
      <w:r w:rsidRPr="009A16E4">
        <w:rPr>
          <w:rFonts w:ascii="Palatino Linotype" w:hAnsi="Palatino Linotype"/>
          <w:b/>
        </w:rPr>
        <w:t xml:space="preserve"> </w:t>
      </w:r>
      <w:r w:rsidRPr="009A16E4">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9A16E4">
        <w:rPr>
          <w:rFonts w:ascii="Palatino Linotype" w:hAnsi="Palatino Linotype"/>
          <w:b/>
        </w:rPr>
        <w:t>Ley de Protección de Datos Personales en Posesión de Sujetos Obligados  del Estado de México y Municipios</w:t>
      </w:r>
      <w:r w:rsidRPr="009A16E4">
        <w:rPr>
          <w:rFonts w:ascii="Palatino Linotype" w:hAnsi="Palatino Linotype"/>
        </w:rPr>
        <w:t>, que refiere:</w:t>
      </w:r>
    </w:p>
    <w:p w:rsidR="009A16E4" w:rsidRDefault="009A16E4" w:rsidP="009A16E4">
      <w:pPr>
        <w:pStyle w:val="Prrafodelista"/>
        <w:spacing w:line="360" w:lineRule="auto"/>
        <w:ind w:left="360" w:right="616"/>
        <w:jc w:val="both"/>
        <w:rPr>
          <w:rFonts w:ascii="Palatino Linotype" w:hAnsi="Palatino Linotype"/>
          <w:i/>
        </w:rPr>
      </w:pP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i/>
          <w:sz w:val="22"/>
        </w:rPr>
        <w:t>“</w:t>
      </w:r>
      <w:r w:rsidRPr="00022D14">
        <w:rPr>
          <w:rFonts w:ascii="Palatino Linotype" w:hAnsi="Palatino Linotype"/>
          <w:b/>
          <w:i/>
          <w:sz w:val="22"/>
        </w:rPr>
        <w:t>Artículo 4</w:t>
      </w:r>
      <w:r w:rsidRPr="00022D14">
        <w:rPr>
          <w:rFonts w:ascii="Palatino Linotype" w:hAnsi="Palatino Linotype"/>
          <w:i/>
          <w:sz w:val="22"/>
        </w:rPr>
        <w:t>.- Para los efectos de esta Ley se entenderá por:</w:t>
      </w: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i/>
          <w:sz w:val="22"/>
        </w:rPr>
        <w:t>…</w:t>
      </w: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b/>
          <w:i/>
          <w:sz w:val="22"/>
        </w:rPr>
        <w:t>XVI. Disociación</w:t>
      </w:r>
      <w:r w:rsidRPr="00022D14">
        <w:rPr>
          <w:rFonts w:ascii="Palatino Linotype" w:hAnsi="Palatino Linotype"/>
          <w:i/>
          <w:sz w:val="22"/>
        </w:rPr>
        <w:t>: al procedimiento por el que los datos personales no pueden asociarse a la o el titular, ni permitir por su estructura, contenido o grado de desagregación, la identificación individual del mismo;”</w:t>
      </w:r>
    </w:p>
    <w:p w:rsidR="00022D14" w:rsidRPr="00022D14" w:rsidRDefault="00022D14" w:rsidP="00022D14">
      <w:pPr>
        <w:pStyle w:val="Prrafodelista"/>
        <w:tabs>
          <w:tab w:val="left" w:pos="7938"/>
        </w:tabs>
        <w:spacing w:line="360" w:lineRule="auto"/>
        <w:ind w:left="142" w:right="333"/>
        <w:jc w:val="both"/>
        <w:rPr>
          <w:rFonts w:ascii="Palatino Linotype" w:hAnsi="Palatino Linotype"/>
          <w:i/>
        </w:rPr>
      </w:pPr>
    </w:p>
    <w:p w:rsidR="009A16E4" w:rsidRDefault="009A16E4" w:rsidP="009A16E4">
      <w:pPr>
        <w:pStyle w:val="Prrafodelista"/>
        <w:numPr>
          <w:ilvl w:val="0"/>
          <w:numId w:val="1"/>
        </w:numPr>
        <w:spacing w:line="360" w:lineRule="auto"/>
        <w:ind w:left="0" w:firstLine="0"/>
        <w:jc w:val="both"/>
        <w:rPr>
          <w:rFonts w:ascii="Palatino Linotype" w:hAnsi="Palatino Linotype"/>
        </w:rPr>
      </w:pPr>
      <w:r w:rsidRPr="009A16E4">
        <w:rPr>
          <w:rFonts w:ascii="Palatino Linotype" w:hAnsi="Palatino Linotype"/>
        </w:rPr>
        <w:lastRenderedPageBreak/>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r>
        <w:rPr>
          <w:rFonts w:ascii="Palatino Linotype" w:hAnsi="Palatino Linotype"/>
        </w:rPr>
        <w:t>.</w:t>
      </w:r>
    </w:p>
    <w:p w:rsidR="009A16E4" w:rsidRDefault="009A16E4" w:rsidP="009A16E4">
      <w:pPr>
        <w:pStyle w:val="Prrafodelista"/>
        <w:spacing w:line="360" w:lineRule="auto"/>
        <w:ind w:left="0"/>
        <w:jc w:val="both"/>
        <w:rPr>
          <w:rFonts w:ascii="Palatino Linotype" w:hAnsi="Palatino Linotype"/>
        </w:rPr>
      </w:pPr>
    </w:p>
    <w:p w:rsidR="001D2190" w:rsidRPr="00301086" w:rsidRDefault="009A16E4" w:rsidP="001D2190">
      <w:pPr>
        <w:pStyle w:val="Prrafodelista"/>
        <w:numPr>
          <w:ilvl w:val="0"/>
          <w:numId w:val="1"/>
        </w:numPr>
        <w:spacing w:line="360" w:lineRule="auto"/>
        <w:ind w:left="0" w:firstLine="0"/>
        <w:jc w:val="both"/>
        <w:rPr>
          <w:rFonts w:ascii="Palatino Linotype" w:eastAsia="Calibri" w:hAnsi="Palatino Linotype" w:cs="Arial"/>
        </w:rPr>
      </w:pPr>
      <w:r w:rsidRPr="001D2190">
        <w:rPr>
          <w:rFonts w:ascii="Palatino Linotype" w:hAnsi="Palatino Linotype"/>
        </w:rPr>
        <w:t xml:space="preserve">En ese sentido </w:t>
      </w:r>
      <w:r w:rsidR="001D2190" w:rsidRPr="001D2190">
        <w:rPr>
          <w:rFonts w:ascii="Palatino Linotype" w:hAnsi="Palatino Linotype"/>
        </w:rPr>
        <w:t>el Sujeto Obligado debería proporcionar la documentación</w:t>
      </w:r>
      <w:r w:rsidRPr="001D2190">
        <w:rPr>
          <w:rFonts w:ascii="Palatino Linotype" w:hAnsi="Palatino Linotype"/>
        </w:rPr>
        <w:t xml:space="preserve">, con los datos disociados </w:t>
      </w:r>
      <w:r w:rsidR="001D2190" w:rsidRPr="001D2190">
        <w:rPr>
          <w:rFonts w:ascii="Palatino Linotype" w:hAnsi="Palatino Linotype"/>
        </w:rPr>
        <w:t>consistente</w:t>
      </w:r>
      <w:r w:rsidRPr="001D2190">
        <w:rPr>
          <w:rFonts w:ascii="Palatino Linotype" w:hAnsi="Palatino Linotype"/>
        </w:rPr>
        <w:t xml:space="preserve"> en una lista de servidores públicos por orden alfabético sin especificar cargos y el tabulador de sueldos en donde sea visible el cargo y la remuneración de los servidores públicos adscritos a la Dirección General de Seguridad Ciudadana y Trán</w:t>
      </w:r>
      <w:r w:rsidR="001D2190">
        <w:rPr>
          <w:rFonts w:ascii="Palatino Linotype" w:hAnsi="Palatino Linotype"/>
        </w:rPr>
        <w:t xml:space="preserve">sito Municipal o su equivalente; ya que </w:t>
      </w:r>
      <w:r w:rsidR="001D2190" w:rsidRPr="009A3225">
        <w:rPr>
          <w:rFonts w:ascii="Palatino Linotype" w:hAnsi="Palatino Linotype"/>
          <w:color w:val="000000" w:themeColor="text1"/>
        </w:rPr>
        <w:t>actuar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1D2190" w:rsidRPr="001D2190" w:rsidRDefault="001D2190" w:rsidP="001D219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1D2190" w:rsidRDefault="001D2190" w:rsidP="001D2190">
      <w:pPr>
        <w:pStyle w:val="Prrafodelista"/>
        <w:rPr>
          <w:rFonts w:ascii="Palatino Linotype" w:hAnsi="Palatino Linotype"/>
          <w:b/>
        </w:rPr>
      </w:pPr>
    </w:p>
    <w:p w:rsidR="001D2190" w:rsidRPr="001D2190" w:rsidRDefault="001D2190" w:rsidP="001D2190">
      <w:pPr>
        <w:pStyle w:val="Prrafodelista"/>
        <w:rPr>
          <w:rFonts w:ascii="Palatino Linotype" w:hAnsi="Palatino Linotype"/>
          <w:b/>
        </w:rPr>
      </w:pPr>
    </w:p>
    <w:p w:rsidR="00CC0EC5" w:rsidRPr="001D2190" w:rsidRDefault="00CC0EC5" w:rsidP="0093472E">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center"/>
        <w:rPr>
          <w:rFonts w:ascii="Palatino Linotype" w:hAnsi="Palatino Linotype" w:cs="Arial"/>
        </w:rPr>
      </w:pPr>
      <w:r w:rsidRPr="001D2190">
        <w:rPr>
          <w:rFonts w:ascii="Palatino Linotype" w:hAnsi="Palatino Linotype"/>
          <w:b/>
        </w:rPr>
        <w:t>JOSÉ GUADALUPE LUNA HERNÁNDEZ</w:t>
      </w:r>
    </w:p>
    <w:p w:rsidR="00022D14" w:rsidRDefault="00CC0EC5" w:rsidP="00022D14">
      <w:pPr>
        <w:jc w:val="center"/>
        <w:rPr>
          <w:rFonts w:ascii="Palatino Linotype" w:hAnsi="Palatino Linotype"/>
          <w:b/>
          <w:sz w:val="22"/>
          <w:szCs w:val="22"/>
        </w:rPr>
      </w:pPr>
      <w:r w:rsidRPr="00EF2C52">
        <w:rPr>
          <w:rFonts w:ascii="Palatino Linotype" w:hAnsi="Palatino Linotype"/>
          <w:b/>
          <w:sz w:val="22"/>
          <w:szCs w:val="22"/>
        </w:rPr>
        <w:t>COMISIONADO</w:t>
      </w:r>
    </w:p>
    <w:p w:rsidR="009A16E4" w:rsidRPr="00EF2C52" w:rsidRDefault="003569D1" w:rsidP="00022D14">
      <w:pPr>
        <w:jc w:val="center"/>
        <w:rPr>
          <w:rFonts w:ascii="Palatino Linotype" w:hAnsi="Palatino Linotype"/>
          <w:b/>
          <w:sz w:val="22"/>
          <w:szCs w:val="22"/>
        </w:rPr>
      </w:pPr>
      <w:r>
        <w:rPr>
          <w:rFonts w:ascii="Palatino Linotype" w:hAnsi="Palatino Linotype"/>
          <w:b/>
          <w:sz w:val="22"/>
          <w:szCs w:val="22"/>
        </w:rPr>
        <w:t>(Rúbrica</w:t>
      </w:r>
      <w:r w:rsidR="009A16E4">
        <w:rPr>
          <w:rFonts w:ascii="Palatino Linotype" w:hAnsi="Palatino Linotype"/>
          <w:b/>
          <w:sz w:val="22"/>
          <w:szCs w:val="22"/>
        </w:rPr>
        <w:t>)</w:t>
      </w:r>
    </w:p>
    <w:p w:rsidR="009A16E4" w:rsidRDefault="009A16E4" w:rsidP="00022D14">
      <w:pPr>
        <w:jc w:val="center"/>
        <w:rPr>
          <w:rFonts w:ascii="Palatino Linotype" w:hAnsi="Palatino Linotype"/>
          <w:b/>
          <w:sz w:val="22"/>
          <w:szCs w:val="22"/>
        </w:rPr>
      </w:pPr>
    </w:p>
    <w:p w:rsidR="00F511B5" w:rsidRPr="001D2190" w:rsidRDefault="001D2190" w:rsidP="001D2190">
      <w:pPr>
        <w:rPr>
          <w:rFonts w:ascii="Palatino Linotype" w:hAnsi="Palatino Linotype"/>
          <w:sz w:val="22"/>
          <w:szCs w:val="22"/>
        </w:rPr>
      </w:pPr>
      <w:r>
        <w:rPr>
          <w:rFonts w:ascii="Palatino Linotype" w:hAnsi="Palatino Linotype"/>
          <w:sz w:val="22"/>
          <w:szCs w:val="22"/>
        </w:rPr>
        <w:t>JGLH/</w:t>
      </w:r>
      <w:proofErr w:type="spellStart"/>
      <w:r>
        <w:rPr>
          <w:rFonts w:ascii="Palatino Linotype" w:hAnsi="Palatino Linotype"/>
          <w:sz w:val="22"/>
          <w:szCs w:val="22"/>
        </w:rPr>
        <w:t>sev</w:t>
      </w:r>
      <w:proofErr w:type="spellEnd"/>
    </w:p>
    <w:sectPr w:rsidR="00F511B5" w:rsidRPr="001D2190"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8FB" w:rsidRDefault="00FD78FB" w:rsidP="00ED7332">
      <w:r>
        <w:separator/>
      </w:r>
    </w:p>
  </w:endnote>
  <w:endnote w:type="continuationSeparator" w:id="0">
    <w:p w:rsidR="00FD78FB" w:rsidRDefault="00FD78FB"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255EAA">
              <w:rPr>
                <w:rFonts w:ascii="Palatino Linotype" w:hAnsi="Palatino Linotype"/>
                <w:b/>
                <w:bCs/>
                <w:noProof/>
                <w:sz w:val="20"/>
                <w:szCs w:val="20"/>
              </w:rPr>
              <w:t>7</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255EAA">
              <w:rPr>
                <w:rFonts w:ascii="Palatino Linotype" w:hAnsi="Palatino Linotype"/>
                <w:b/>
                <w:bCs/>
                <w:noProof/>
                <w:sz w:val="20"/>
                <w:szCs w:val="20"/>
              </w:rPr>
              <w:t>8</w:t>
            </w:r>
            <w:r w:rsidRPr="0052203D">
              <w:rPr>
                <w:rFonts w:ascii="Palatino Linotype" w:hAnsi="Palatino Linotype"/>
                <w:b/>
                <w:bCs/>
                <w:sz w:val="20"/>
                <w:szCs w:val="20"/>
              </w:rPr>
              <w:fldChar w:fldCharType="end"/>
            </w:r>
          </w:p>
        </w:sdtContent>
      </w:sdt>
    </w:sdtContent>
  </w:sdt>
  <w:p w:rsidR="00951E8B" w:rsidRDefault="00FD7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8FB" w:rsidRDefault="00FD78FB" w:rsidP="00ED7332">
      <w:r>
        <w:separator/>
      </w:r>
    </w:p>
  </w:footnote>
  <w:footnote w:type="continuationSeparator" w:id="0">
    <w:p w:rsidR="00FD78FB" w:rsidRDefault="00FD78FB"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D78FB">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1" o:spid="_x0000_s2062" type="#_x0000_t136" style="position:absolute;margin-left:0;margin-top:0;width:545.1pt;height:77.8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D78FB">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2" o:spid="_x0000_s2063" type="#_x0000_t136" style="position:absolute;margin-left:0;margin-top:0;width:545.1pt;height:77.8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D78FB">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0" o:spid="_x0000_s2061" type="#_x0000_t136" style="position:absolute;margin-left:0;margin-top:0;width:545.1pt;height:77.8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3" w15:restartNumberingAfterBreak="0">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4" w15:restartNumberingAfterBreak="0">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6" w15:restartNumberingAfterBreak="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15:restartNumberingAfterBreak="0">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0" w15:restartNumberingAfterBreak="0">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15:restartNumberingAfterBreak="0">
    <w:nsid w:val="4E641F14"/>
    <w:multiLevelType w:val="hybridMultilevel"/>
    <w:tmpl w:val="F2E03318"/>
    <w:lvl w:ilvl="0" w:tplc="7B1AF3AC">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9" w15:restartNumberingAfterBreak="0">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7" w15:restartNumberingAfterBreak="0">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9"/>
  </w:num>
  <w:num w:numId="3">
    <w:abstractNumId w:val="40"/>
  </w:num>
  <w:num w:numId="4">
    <w:abstractNumId w:val="6"/>
  </w:num>
  <w:num w:numId="5">
    <w:abstractNumId w:val="15"/>
  </w:num>
  <w:num w:numId="6">
    <w:abstractNumId w:val="3"/>
  </w:num>
  <w:num w:numId="7">
    <w:abstractNumId w:val="25"/>
  </w:num>
  <w:num w:numId="8">
    <w:abstractNumId w:val="43"/>
  </w:num>
  <w:num w:numId="9">
    <w:abstractNumId w:val="19"/>
  </w:num>
  <w:num w:numId="10">
    <w:abstractNumId w:val="2"/>
  </w:num>
  <w:num w:numId="11">
    <w:abstractNumId w:val="0"/>
  </w:num>
  <w:num w:numId="12">
    <w:abstractNumId w:val="24"/>
  </w:num>
  <w:num w:numId="13">
    <w:abstractNumId w:val="5"/>
  </w:num>
  <w:num w:numId="14">
    <w:abstractNumId w:val="38"/>
  </w:num>
  <w:num w:numId="15">
    <w:abstractNumId w:val="37"/>
  </w:num>
  <w:num w:numId="16">
    <w:abstractNumId w:val="21"/>
  </w:num>
  <w:num w:numId="17">
    <w:abstractNumId w:val="11"/>
  </w:num>
  <w:num w:numId="18">
    <w:abstractNumId w:val="8"/>
  </w:num>
  <w:num w:numId="19">
    <w:abstractNumId w:val="39"/>
  </w:num>
  <w:num w:numId="20">
    <w:abstractNumId w:val="18"/>
  </w:num>
  <w:num w:numId="21">
    <w:abstractNumId w:val="41"/>
  </w:num>
  <w:num w:numId="22">
    <w:abstractNumId w:val="13"/>
  </w:num>
  <w:num w:numId="23">
    <w:abstractNumId w:val="16"/>
  </w:num>
  <w:num w:numId="24">
    <w:abstractNumId w:val="29"/>
  </w:num>
  <w:num w:numId="25">
    <w:abstractNumId w:val="20"/>
  </w:num>
  <w:num w:numId="26">
    <w:abstractNumId w:val="4"/>
  </w:num>
  <w:num w:numId="27">
    <w:abstractNumId w:val="10"/>
  </w:num>
  <w:num w:numId="28">
    <w:abstractNumId w:val="28"/>
  </w:num>
  <w:num w:numId="29">
    <w:abstractNumId w:val="12"/>
  </w:num>
  <w:num w:numId="30">
    <w:abstractNumId w:val="34"/>
  </w:num>
  <w:num w:numId="31">
    <w:abstractNumId w:val="27"/>
  </w:num>
  <w:num w:numId="32">
    <w:abstractNumId w:val="3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0"/>
  </w:num>
  <w:num w:numId="36">
    <w:abstractNumId w:val="30"/>
  </w:num>
  <w:num w:numId="37">
    <w:abstractNumId w:val="22"/>
  </w:num>
  <w:num w:numId="38">
    <w:abstractNumId w:val="31"/>
  </w:num>
  <w:num w:numId="39">
    <w:abstractNumId w:val="23"/>
  </w:num>
  <w:num w:numId="40">
    <w:abstractNumId w:val="33"/>
  </w:num>
  <w:num w:numId="41">
    <w:abstractNumId w:val="42"/>
  </w:num>
  <w:num w:numId="42">
    <w:abstractNumId w:val="22"/>
    <w:lvlOverride w:ilvl="0">
      <w:startOverride w:val="4"/>
    </w:lvlOverride>
  </w:num>
  <w:num w:numId="43">
    <w:abstractNumId w:val="1"/>
  </w:num>
  <w:num w:numId="44">
    <w:abstractNumId w:val="32"/>
  </w:num>
  <w:num w:numId="45">
    <w:abstractNumId w:val="17"/>
  </w:num>
  <w:num w:numId="46">
    <w:abstractNumId w:val="35"/>
  </w:num>
  <w:num w:numId="47">
    <w:abstractNumId w:val="14"/>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22D14"/>
    <w:rsid w:val="000350F9"/>
    <w:rsid w:val="00045EDE"/>
    <w:rsid w:val="00071C0E"/>
    <w:rsid w:val="00074B24"/>
    <w:rsid w:val="00075028"/>
    <w:rsid w:val="000779F9"/>
    <w:rsid w:val="0009296B"/>
    <w:rsid w:val="000963B3"/>
    <w:rsid w:val="00096BFB"/>
    <w:rsid w:val="00097AD7"/>
    <w:rsid w:val="000B0E25"/>
    <w:rsid w:val="000C7056"/>
    <w:rsid w:val="000D714D"/>
    <w:rsid w:val="000E7EE8"/>
    <w:rsid w:val="000F1159"/>
    <w:rsid w:val="000F2AC8"/>
    <w:rsid w:val="00103510"/>
    <w:rsid w:val="001130D3"/>
    <w:rsid w:val="00115126"/>
    <w:rsid w:val="00122FB9"/>
    <w:rsid w:val="0015416E"/>
    <w:rsid w:val="0016141F"/>
    <w:rsid w:val="00161D60"/>
    <w:rsid w:val="00170FB4"/>
    <w:rsid w:val="00173575"/>
    <w:rsid w:val="00187C5A"/>
    <w:rsid w:val="00191742"/>
    <w:rsid w:val="001A2F06"/>
    <w:rsid w:val="001C6C91"/>
    <w:rsid w:val="001D2190"/>
    <w:rsid w:val="001E2E42"/>
    <w:rsid w:val="001E2F7E"/>
    <w:rsid w:val="001F0577"/>
    <w:rsid w:val="00203272"/>
    <w:rsid w:val="002252EC"/>
    <w:rsid w:val="00230BB9"/>
    <w:rsid w:val="002528A4"/>
    <w:rsid w:val="00253251"/>
    <w:rsid w:val="00255331"/>
    <w:rsid w:val="00255EAA"/>
    <w:rsid w:val="0026475A"/>
    <w:rsid w:val="0026502D"/>
    <w:rsid w:val="00266515"/>
    <w:rsid w:val="00274977"/>
    <w:rsid w:val="002813E1"/>
    <w:rsid w:val="00290D96"/>
    <w:rsid w:val="002A3764"/>
    <w:rsid w:val="002A3A54"/>
    <w:rsid w:val="002D1347"/>
    <w:rsid w:val="002E4EAD"/>
    <w:rsid w:val="002F0112"/>
    <w:rsid w:val="003061F2"/>
    <w:rsid w:val="00313DBF"/>
    <w:rsid w:val="003331EE"/>
    <w:rsid w:val="00341275"/>
    <w:rsid w:val="00343467"/>
    <w:rsid w:val="003503B0"/>
    <w:rsid w:val="003569D1"/>
    <w:rsid w:val="00364D1A"/>
    <w:rsid w:val="00364E7F"/>
    <w:rsid w:val="00366D22"/>
    <w:rsid w:val="003672A4"/>
    <w:rsid w:val="00374684"/>
    <w:rsid w:val="003765B0"/>
    <w:rsid w:val="0038405F"/>
    <w:rsid w:val="003A43CE"/>
    <w:rsid w:val="003A68B3"/>
    <w:rsid w:val="003C68B6"/>
    <w:rsid w:val="003D1215"/>
    <w:rsid w:val="003D513F"/>
    <w:rsid w:val="003F71B7"/>
    <w:rsid w:val="00421FE8"/>
    <w:rsid w:val="004252DB"/>
    <w:rsid w:val="00430106"/>
    <w:rsid w:val="00437134"/>
    <w:rsid w:val="0044164A"/>
    <w:rsid w:val="00442007"/>
    <w:rsid w:val="0044710A"/>
    <w:rsid w:val="00447D29"/>
    <w:rsid w:val="00460BFA"/>
    <w:rsid w:val="00482790"/>
    <w:rsid w:val="004915D5"/>
    <w:rsid w:val="004A6948"/>
    <w:rsid w:val="004A75D5"/>
    <w:rsid w:val="004C4360"/>
    <w:rsid w:val="004D1629"/>
    <w:rsid w:val="004F719D"/>
    <w:rsid w:val="004F7289"/>
    <w:rsid w:val="0050137A"/>
    <w:rsid w:val="00503141"/>
    <w:rsid w:val="0052203D"/>
    <w:rsid w:val="00557948"/>
    <w:rsid w:val="00577A92"/>
    <w:rsid w:val="00586E51"/>
    <w:rsid w:val="005A09A1"/>
    <w:rsid w:val="005A55B8"/>
    <w:rsid w:val="005E6E1A"/>
    <w:rsid w:val="00614828"/>
    <w:rsid w:val="00630699"/>
    <w:rsid w:val="00633DCF"/>
    <w:rsid w:val="00635965"/>
    <w:rsid w:val="0063753D"/>
    <w:rsid w:val="006409B3"/>
    <w:rsid w:val="00642F7C"/>
    <w:rsid w:val="00644DC3"/>
    <w:rsid w:val="00647C92"/>
    <w:rsid w:val="006500A4"/>
    <w:rsid w:val="00651B65"/>
    <w:rsid w:val="00696E58"/>
    <w:rsid w:val="006E2911"/>
    <w:rsid w:val="006F3E9E"/>
    <w:rsid w:val="00711276"/>
    <w:rsid w:val="007226CE"/>
    <w:rsid w:val="007455F7"/>
    <w:rsid w:val="007631ED"/>
    <w:rsid w:val="00763471"/>
    <w:rsid w:val="00774A7F"/>
    <w:rsid w:val="0077794D"/>
    <w:rsid w:val="007A4E77"/>
    <w:rsid w:val="007A69A1"/>
    <w:rsid w:val="007A6A25"/>
    <w:rsid w:val="007A76AC"/>
    <w:rsid w:val="007B08CC"/>
    <w:rsid w:val="007B194A"/>
    <w:rsid w:val="007B1C16"/>
    <w:rsid w:val="007B70C2"/>
    <w:rsid w:val="007C25E8"/>
    <w:rsid w:val="007E20E1"/>
    <w:rsid w:val="007F5BB2"/>
    <w:rsid w:val="007F7E66"/>
    <w:rsid w:val="0081168F"/>
    <w:rsid w:val="00811FF8"/>
    <w:rsid w:val="00835B3B"/>
    <w:rsid w:val="008517AF"/>
    <w:rsid w:val="00861EA4"/>
    <w:rsid w:val="00864D58"/>
    <w:rsid w:val="00876E43"/>
    <w:rsid w:val="00880EB4"/>
    <w:rsid w:val="00894FAC"/>
    <w:rsid w:val="008979F6"/>
    <w:rsid w:val="008A78F1"/>
    <w:rsid w:val="008B29B7"/>
    <w:rsid w:val="008B2AC8"/>
    <w:rsid w:val="008B50DE"/>
    <w:rsid w:val="008B70FB"/>
    <w:rsid w:val="008B7317"/>
    <w:rsid w:val="008B7D1A"/>
    <w:rsid w:val="008C3561"/>
    <w:rsid w:val="008D1C7B"/>
    <w:rsid w:val="008F1F4E"/>
    <w:rsid w:val="008F3587"/>
    <w:rsid w:val="0090198C"/>
    <w:rsid w:val="00903879"/>
    <w:rsid w:val="009332A7"/>
    <w:rsid w:val="00940BE8"/>
    <w:rsid w:val="00941946"/>
    <w:rsid w:val="00952EB7"/>
    <w:rsid w:val="00962AB3"/>
    <w:rsid w:val="0097464F"/>
    <w:rsid w:val="0099042C"/>
    <w:rsid w:val="009A16E4"/>
    <w:rsid w:val="009D5E66"/>
    <w:rsid w:val="009E3209"/>
    <w:rsid w:val="009E7D34"/>
    <w:rsid w:val="00A011F0"/>
    <w:rsid w:val="00A249AB"/>
    <w:rsid w:val="00A31B0C"/>
    <w:rsid w:val="00A3395D"/>
    <w:rsid w:val="00A36FB9"/>
    <w:rsid w:val="00A410B3"/>
    <w:rsid w:val="00A527F0"/>
    <w:rsid w:val="00A7538B"/>
    <w:rsid w:val="00A94904"/>
    <w:rsid w:val="00AA4703"/>
    <w:rsid w:val="00AE112C"/>
    <w:rsid w:val="00AE1FD6"/>
    <w:rsid w:val="00AF61AB"/>
    <w:rsid w:val="00B06084"/>
    <w:rsid w:val="00B079D3"/>
    <w:rsid w:val="00B1415F"/>
    <w:rsid w:val="00B305DB"/>
    <w:rsid w:val="00B32143"/>
    <w:rsid w:val="00B35501"/>
    <w:rsid w:val="00B64221"/>
    <w:rsid w:val="00B82DF9"/>
    <w:rsid w:val="00B847C6"/>
    <w:rsid w:val="00B951D9"/>
    <w:rsid w:val="00B97430"/>
    <w:rsid w:val="00BA7541"/>
    <w:rsid w:val="00BC23A5"/>
    <w:rsid w:val="00BD7E40"/>
    <w:rsid w:val="00BE0306"/>
    <w:rsid w:val="00BE1AF8"/>
    <w:rsid w:val="00C04ABD"/>
    <w:rsid w:val="00C16A3B"/>
    <w:rsid w:val="00C35411"/>
    <w:rsid w:val="00C36B1F"/>
    <w:rsid w:val="00C37D34"/>
    <w:rsid w:val="00C50FC5"/>
    <w:rsid w:val="00C648C5"/>
    <w:rsid w:val="00C64CFF"/>
    <w:rsid w:val="00C7087D"/>
    <w:rsid w:val="00C74DDE"/>
    <w:rsid w:val="00C819C8"/>
    <w:rsid w:val="00C8234C"/>
    <w:rsid w:val="00C87E9E"/>
    <w:rsid w:val="00C96160"/>
    <w:rsid w:val="00CA5AFE"/>
    <w:rsid w:val="00CB061F"/>
    <w:rsid w:val="00CB13A7"/>
    <w:rsid w:val="00CB19F7"/>
    <w:rsid w:val="00CB3643"/>
    <w:rsid w:val="00CC0EC5"/>
    <w:rsid w:val="00CD3F2D"/>
    <w:rsid w:val="00CD617D"/>
    <w:rsid w:val="00CE058D"/>
    <w:rsid w:val="00CF16BC"/>
    <w:rsid w:val="00D06241"/>
    <w:rsid w:val="00D075E8"/>
    <w:rsid w:val="00D0774E"/>
    <w:rsid w:val="00D212CB"/>
    <w:rsid w:val="00D349C5"/>
    <w:rsid w:val="00D37C48"/>
    <w:rsid w:val="00D420C4"/>
    <w:rsid w:val="00D570BC"/>
    <w:rsid w:val="00D74377"/>
    <w:rsid w:val="00D75081"/>
    <w:rsid w:val="00D976D8"/>
    <w:rsid w:val="00D97CBF"/>
    <w:rsid w:val="00DB5AF7"/>
    <w:rsid w:val="00DC3D1C"/>
    <w:rsid w:val="00DC613F"/>
    <w:rsid w:val="00DE28AC"/>
    <w:rsid w:val="00DE7C9B"/>
    <w:rsid w:val="00DE7DF6"/>
    <w:rsid w:val="00E042EC"/>
    <w:rsid w:val="00E043DE"/>
    <w:rsid w:val="00E06C70"/>
    <w:rsid w:val="00E12C1D"/>
    <w:rsid w:val="00E25072"/>
    <w:rsid w:val="00E4540E"/>
    <w:rsid w:val="00E60C19"/>
    <w:rsid w:val="00E67744"/>
    <w:rsid w:val="00E80889"/>
    <w:rsid w:val="00EA4216"/>
    <w:rsid w:val="00EA734D"/>
    <w:rsid w:val="00EB46CE"/>
    <w:rsid w:val="00EB6A73"/>
    <w:rsid w:val="00EB7AA0"/>
    <w:rsid w:val="00EC781B"/>
    <w:rsid w:val="00ED2F56"/>
    <w:rsid w:val="00ED5776"/>
    <w:rsid w:val="00ED7332"/>
    <w:rsid w:val="00EE0D26"/>
    <w:rsid w:val="00EE3F52"/>
    <w:rsid w:val="00EF2C52"/>
    <w:rsid w:val="00EF4D4D"/>
    <w:rsid w:val="00EF7BFC"/>
    <w:rsid w:val="00F15D14"/>
    <w:rsid w:val="00F26370"/>
    <w:rsid w:val="00F3413E"/>
    <w:rsid w:val="00F36639"/>
    <w:rsid w:val="00F436A4"/>
    <w:rsid w:val="00F511B5"/>
    <w:rsid w:val="00F56E5B"/>
    <w:rsid w:val="00F63F46"/>
    <w:rsid w:val="00F7127D"/>
    <w:rsid w:val="00F71FF7"/>
    <w:rsid w:val="00F73EA1"/>
    <w:rsid w:val="00F742C0"/>
    <w:rsid w:val="00F75AE7"/>
    <w:rsid w:val="00F77503"/>
    <w:rsid w:val="00F95E27"/>
    <w:rsid w:val="00FB534E"/>
    <w:rsid w:val="00FC0B18"/>
    <w:rsid w:val="00FC148F"/>
    <w:rsid w:val="00FD78FB"/>
    <w:rsid w:val="00FE3075"/>
    <w:rsid w:val="00FE5FB6"/>
    <w:rsid w:val="00FE7484"/>
    <w:rsid w:val="00FF3D64"/>
    <w:rsid w:val="00FF4B33"/>
    <w:rsid w:val="00FF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D97CBF"/>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283"/>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D97CBF"/>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112556994">
      <w:bodyDiv w:val="1"/>
      <w:marLeft w:val="0"/>
      <w:marRight w:val="0"/>
      <w:marTop w:val="0"/>
      <w:marBottom w:val="0"/>
      <w:divBdr>
        <w:top w:val="none" w:sz="0" w:space="0" w:color="auto"/>
        <w:left w:val="none" w:sz="0" w:space="0" w:color="auto"/>
        <w:bottom w:val="none" w:sz="0" w:space="0" w:color="auto"/>
        <w:right w:val="none" w:sz="0" w:space="0" w:color="auto"/>
      </w:divBdr>
    </w:div>
    <w:div w:id="472871735">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AB529-78B0-4655-B94D-18D110A1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1693</Words>
  <Characters>9312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2019-02-05T19:23:00Z</cp:lastPrinted>
  <dcterms:created xsi:type="dcterms:W3CDTF">2019-02-05T18:27:00Z</dcterms:created>
  <dcterms:modified xsi:type="dcterms:W3CDTF">2019-02-05T19:35:00Z</dcterms:modified>
</cp:coreProperties>
</file>